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8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jc w:val="center"/>
              <w:rPr>
                <w:rFonts w:ascii="黑体" w:hAnsi="黑体" w:eastAsia="黑体" w:cs="宋体"/>
                <w:kern w:val="0"/>
                <w:sz w:val="28"/>
                <w:szCs w:val="28"/>
              </w:rPr>
            </w:pPr>
            <w:r>
              <w:rPr>
                <w:rFonts w:hint="eastAsia" w:ascii="黑体" w:hAnsi="黑体" w:eastAsia="黑体" w:cs="宋体"/>
                <w:b/>
                <w:bCs/>
                <w:kern w:val="0"/>
                <w:sz w:val="28"/>
                <w:szCs w:val="28"/>
              </w:rPr>
              <w:t>贵州大学</w:t>
            </w:r>
            <w:r>
              <w:rPr>
                <w:rFonts w:ascii="黑体" w:hAnsi="黑体" w:eastAsia="黑体" w:cs="宋体"/>
                <w:b/>
                <w:bCs/>
                <w:kern w:val="0"/>
                <w:sz w:val="28"/>
                <w:szCs w:val="28"/>
              </w:rPr>
              <w:t>硕士研究生入学考试大纲</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jc w:val="left"/>
              <w:rPr>
                <w:rFonts w:ascii="仿宋" w:hAnsi="仿宋" w:eastAsia="仿宋" w:cs="宋体"/>
                <w:kern w:val="0"/>
                <w:sz w:val="24"/>
                <w:szCs w:val="24"/>
              </w:rPr>
            </w:pPr>
            <w:r>
              <w:rPr>
                <w:rFonts w:ascii="仿宋" w:hAnsi="仿宋" w:eastAsia="仿宋" w:cs="宋体"/>
                <w:kern w:val="0"/>
                <w:sz w:val="24"/>
                <w:szCs w:val="24"/>
              </w:rPr>
              <w:t>考试科目代码及名称：</w:t>
            </w:r>
            <w:r>
              <w:rPr>
                <w:rFonts w:ascii="Calibri" w:hAnsi="Calibri" w:eastAsia="仿宋" w:cs="Calibri"/>
                <w:kern w:val="0"/>
                <w:sz w:val="24"/>
                <w:szCs w:val="24"/>
              </w:rPr>
              <w:t> </w:t>
            </w:r>
            <w:r>
              <w:rPr>
                <w:rFonts w:ascii="仿宋" w:hAnsi="仿宋" w:eastAsia="仿宋" w:cs="宋体"/>
                <w:kern w:val="0"/>
                <w:sz w:val="24"/>
                <w:szCs w:val="24"/>
              </w:rPr>
              <w:t xml:space="preserve"> </w:t>
            </w:r>
            <w:r>
              <w:rPr>
                <w:rFonts w:hint="eastAsia" w:ascii="仿宋" w:hAnsi="仿宋" w:eastAsia="仿宋" w:cs="宋体"/>
                <w:kern w:val="0"/>
                <w:sz w:val="24"/>
                <w:szCs w:val="24"/>
              </w:rPr>
              <w:t>895园林植物综合</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outset" w:color="auto" w:sz="6" w:space="0"/>
              <w:left w:val="outset" w:color="auto" w:sz="6" w:space="0"/>
              <w:bottom w:val="outset" w:color="auto" w:sz="6" w:space="0"/>
              <w:right w:val="outset" w:color="auto" w:sz="6" w:space="0"/>
            </w:tcBorders>
            <w:vAlign w:val="center"/>
          </w:tcPr>
          <w:p>
            <w:pPr>
              <w:widowControl/>
              <w:adjustRightInd w:val="0"/>
              <w:snapToGrid w:val="0"/>
              <w:ind w:firstLine="361" w:firstLineChars="150"/>
              <w:jc w:val="left"/>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一、考纲性质</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园林植物综合》是报考全日制林学一级硕士专业学位研究生园林植物与观赏园艺方向必考专业课。考试内容包括园林树木学、园林花卉学、观赏植物学和园林植物造景的基本知识和基本理论，重点是服务于林学与园林行业建设实践需要掌握的园林植物种类、分类、选育、生态习性、观赏特性、繁殖、栽培及配植应用相关基本内容。</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为了帮助考生明确复习范围和报考的有关要求，特制定本考试大纲。本考纲适用于报考全日制林学硕士专业学位园林植物与观赏园艺方向的考生。</w:t>
            </w:r>
          </w:p>
          <w:p>
            <w:pPr>
              <w:widowControl/>
              <w:adjustRightInd w:val="0"/>
              <w:snapToGrid w:val="0"/>
              <w:ind w:firstLine="361" w:firstLineChars="150"/>
              <w:jc w:val="left"/>
              <w:rPr>
                <w:rFonts w:ascii="仿宋" w:hAnsi="仿宋" w:eastAsia="仿宋" w:cs="宋体"/>
                <w:b/>
                <w:bCs/>
                <w:color w:val="000000"/>
                <w:kern w:val="0"/>
                <w:sz w:val="24"/>
                <w:szCs w:val="24"/>
              </w:rPr>
            </w:pPr>
            <w:bookmarkStart w:id="0" w:name="_GoBack"/>
            <w:r>
              <w:rPr>
                <w:rFonts w:hint="eastAsia" w:ascii="仿宋" w:hAnsi="仿宋" w:eastAsia="仿宋" w:cs="宋体"/>
                <w:b/>
                <w:bCs/>
                <w:color w:val="000000"/>
                <w:kern w:val="0"/>
                <w:sz w:val="24"/>
                <w:szCs w:val="24"/>
              </w:rPr>
              <w:t>二、考试内容</w:t>
            </w:r>
          </w:p>
          <w:bookmarkEnd w:id="0"/>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《园林树木学》、《园林花卉学》、《观赏植物学》和《园林植物造景》四门课程主要章节内容。</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《园林树木学》</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（一） 园林树木的分类</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1、按植物分类学分类</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2、按树木的生活型分类</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3、按树木的观赏特性分类</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4、按树木的园林用途分类</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（二）园林树木在城市绿化中的功能</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1、城市环境</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2、园林树木的防护功能</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3、园林树木的美化功能</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4、园林树木的生产功能</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（三）园林树木的生态习性</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1、温度因子</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2、水分因子</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3、光因子</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4、空气因子</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5、土壤因子</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6、创造小环境，满足树木的生态习性</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（四）园林树木群体及其生长发育规律</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1、植物群落的概念</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2、植物群落的组成、特征、命名</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3、植物群落的形成、发育、演替</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4、运用群落知识、完善栽培群落</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（五）城市园林树种调查与规划</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1、树种规划的意义</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2、树种调查的内容与方法</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3、树种规划的原则、内容与方法</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（六）园林树木的配植</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1、配植的原则及基本手法</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2、配植的方式及类型</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3、园林树木与建筑、山水、园路的配植</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（七）园林树木各论</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详见园林树木学教材。</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《园林花卉学》</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（一）园林花卉分类</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以花卉生活型和地下形态特征、花卉原产地气候型、植物科属或类群、观赏特点、用途等为依据的分类方案。</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（二）园林花卉繁殖</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1、花卉种子的寿命及贮存方法</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2、花卉种子萌发条件及播种前处理方法</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3、园林花卉常用繁殖方法及技术要点</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（三）园林花卉的花期控制</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1、花卉花期调控的基本原理和常用技术方法；</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2、花期调控的主要设施和一些具体实例。</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（四）园林花卉各论</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1、详见园林花卉学教材。</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2、各类园林花卉的含义及类型；园林应用特点；生态习性；繁殖栽培要点。掌握常用种类。</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（五）园林花卉常见应用形式</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花坛、花境、花台、种植钵、专类园、室内绿化装饰的植物材料选择及设计方法。</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观赏植物学</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（一）观赏植物的播种繁殖与培育</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1、播种繁殖：概念及技术特点</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2、播种苗的抚育管理</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（二）观赏植物的营养繁殖与培育</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1、营养繁殖及其应用特点</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2、分株、压条、扦插、嫁接4种繁殖方式：概念与技术特点</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（三）园林苗木的微繁殖(组织培养)与培育</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微繁殖技术（组织培养）及其流程</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（四）观赏植物的容器育苗与栽培</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1、容器育苗与容器苗概念</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2、容器苗栽培管理特点</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3、容器育苗技术</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园林植物造景</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（一）园林植物概论</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1、园林造景、园林植物景观、园林植物配置与园林植物配植概念。</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2、中国园林植物资源特点。</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（二）园林植物的观赏特性</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1、园林植物的整体类型</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2、园林植物的姿态</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3、园林植物的色彩美</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4、园林植物的芳香</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5、园林植物的质感　　</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（三）园林植物的功能作用</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 1、园林植物的建造功能</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2、园林植物的美学功能</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3、园林植物的生态功能　　</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（四）园林植物造景的理念基础</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1、环境对植物景观的生态作用 </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2、自然群落与植物造景</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3、植物造景的美学原理（色彩美-形式美）</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4、中国花文化与植物造景</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5、中国古典园林植物配置与造景手法　</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（五）园林植物造景的基本形式</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1、植物配植的原则</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2、乔灌木配植的形式</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3、攀援植物造景的形式</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4、花卉配置的形式</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5、草坪与地被植物的造景设计</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6、园林植物景观空间的营造</w:t>
            </w:r>
          </w:p>
          <w:p>
            <w:pPr>
              <w:widowControl/>
              <w:adjustRightInd w:val="0"/>
              <w:snapToGrid w:val="0"/>
              <w:ind w:firstLine="360" w:firstLineChars="150"/>
              <w:jc w:val="left"/>
              <w:rPr>
                <w:rFonts w:ascii="仿宋" w:hAnsi="仿宋" w:eastAsia="仿宋" w:cs="宋体"/>
                <w:b/>
                <w:bCs/>
                <w:color w:val="000000"/>
                <w:kern w:val="0"/>
                <w:sz w:val="24"/>
                <w:szCs w:val="24"/>
              </w:rPr>
            </w:pPr>
            <w:r>
              <w:rPr>
                <w:rFonts w:hint="eastAsia" w:ascii="仿宋" w:hAnsi="仿宋" w:eastAsia="仿宋" w:cs="宋体"/>
                <w:color w:val="000000"/>
                <w:kern w:val="0"/>
                <w:sz w:val="24"/>
                <w:szCs w:val="24"/>
              </w:rPr>
              <w:t>　　</w:t>
            </w:r>
            <w:r>
              <w:rPr>
                <w:rFonts w:hint="eastAsia" w:ascii="仿宋" w:hAnsi="仿宋" w:eastAsia="仿宋" w:cs="宋体"/>
                <w:b/>
                <w:bCs/>
                <w:color w:val="000000"/>
                <w:kern w:val="0"/>
                <w:sz w:val="24"/>
                <w:szCs w:val="24"/>
              </w:rPr>
              <w:t>三、考试要求</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考生应该熟悉掌握上述内容的基本概念、基本知识点与基本原理，掌握相关的操作技能；能够运用这些知识分析解答行业相关问题。　　</w:t>
            </w:r>
          </w:p>
          <w:p>
            <w:pPr>
              <w:widowControl/>
              <w:adjustRightInd w:val="0"/>
              <w:snapToGrid w:val="0"/>
              <w:ind w:firstLine="843" w:firstLineChars="350"/>
              <w:jc w:val="left"/>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四、试卷结构</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试卷由下述题型构成:</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（一）园林植物中拉学名互译</w:t>
            </w:r>
          </w:p>
          <w:p>
            <w:pPr>
              <w:widowControl/>
              <w:adjustRightInd w:val="0"/>
              <w:snapToGrid w:val="0"/>
              <w:ind w:firstLine="840" w:firstLineChars="3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（二）名词解释</w:t>
            </w:r>
          </w:p>
          <w:p>
            <w:pPr>
              <w:widowControl/>
              <w:adjustRightInd w:val="0"/>
              <w:snapToGrid w:val="0"/>
              <w:ind w:firstLine="840" w:firstLineChars="3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（三）选择题</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（四）问答题</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（五）论述题</w:t>
            </w:r>
          </w:p>
          <w:p>
            <w:pPr>
              <w:widowControl/>
              <w:adjustRightInd w:val="0"/>
              <w:snapToGrid w:val="0"/>
              <w:ind w:firstLine="360" w:firstLineChars="150"/>
              <w:jc w:val="left"/>
              <w:rPr>
                <w:rFonts w:ascii="仿宋" w:hAnsi="仿宋" w:eastAsia="仿宋" w:cs="宋体"/>
                <w:b/>
                <w:bCs/>
                <w:color w:val="000000"/>
                <w:kern w:val="0"/>
                <w:sz w:val="24"/>
                <w:szCs w:val="24"/>
              </w:rPr>
            </w:pPr>
            <w:r>
              <w:rPr>
                <w:rFonts w:hint="eastAsia" w:ascii="仿宋" w:hAnsi="仿宋" w:eastAsia="仿宋" w:cs="宋体"/>
                <w:color w:val="000000"/>
                <w:kern w:val="0"/>
                <w:sz w:val="24"/>
                <w:szCs w:val="24"/>
              </w:rPr>
              <w:t>　</w:t>
            </w:r>
            <w:r>
              <w:rPr>
                <w:rFonts w:hint="eastAsia" w:ascii="仿宋" w:hAnsi="仿宋" w:eastAsia="仿宋" w:cs="宋体"/>
                <w:b/>
                <w:bCs/>
                <w:color w:val="000000"/>
                <w:kern w:val="0"/>
                <w:sz w:val="24"/>
                <w:szCs w:val="24"/>
              </w:rPr>
              <w:t>　五、考试方式及时间</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考试方式为闭卷笔试，时间为180分钟。</w:t>
            </w:r>
          </w:p>
          <w:p>
            <w:pPr>
              <w:widowControl/>
              <w:adjustRightInd w:val="0"/>
              <w:snapToGrid w:val="0"/>
              <w:ind w:firstLine="360" w:firstLineChars="150"/>
              <w:jc w:val="left"/>
              <w:rPr>
                <w:rFonts w:hint="eastAsia" w:ascii="仿宋" w:hAnsi="仿宋" w:eastAsia="仿宋" w:cs="宋体"/>
                <w:kern w:val="0"/>
                <w:sz w:val="24"/>
                <w:szCs w:val="24"/>
              </w:rPr>
            </w:pPr>
            <w:r>
              <w:rPr>
                <w:rFonts w:hint="eastAsia" w:ascii="仿宋" w:hAnsi="仿宋" w:eastAsia="仿宋" w:cs="宋体"/>
                <w:color w:val="000000"/>
                <w:kern w:val="0"/>
                <w:sz w:val="24"/>
                <w:szCs w:val="24"/>
              </w:rPr>
              <w:t>　</w:t>
            </w:r>
            <w:r>
              <w:rPr>
                <w:rFonts w:hint="eastAsia" w:ascii="仿宋" w:hAnsi="仿宋" w:eastAsia="仿宋" w:cs="宋体"/>
                <w:kern w:val="0"/>
                <w:sz w:val="24"/>
                <w:szCs w:val="24"/>
              </w:rPr>
              <w:t>　</w:t>
            </w:r>
          </w:p>
          <w:p>
            <w:pPr>
              <w:widowControl/>
              <w:adjustRightInd w:val="0"/>
              <w:snapToGrid w:val="0"/>
              <w:ind w:firstLine="360" w:firstLineChars="150"/>
              <w:jc w:val="left"/>
              <w:rPr>
                <w:rFonts w:hint="eastAsia" w:ascii="仿宋" w:hAnsi="仿宋" w:eastAsia="仿宋" w:cs="宋体"/>
                <w:kern w:val="0"/>
                <w:sz w:val="24"/>
                <w:szCs w:val="24"/>
              </w:rPr>
            </w:pPr>
          </w:p>
          <w:p>
            <w:pPr>
              <w:widowControl/>
              <w:adjustRightInd w:val="0"/>
              <w:snapToGrid w:val="0"/>
              <w:ind w:firstLine="360" w:firstLineChars="150"/>
              <w:jc w:val="left"/>
              <w:rPr>
                <w:rFonts w:hint="eastAsia" w:ascii="仿宋" w:hAnsi="仿宋" w:eastAsia="仿宋" w:cs="宋体"/>
                <w:kern w:val="0"/>
                <w:sz w:val="24"/>
                <w:szCs w:val="24"/>
              </w:rPr>
            </w:pPr>
          </w:p>
          <w:p>
            <w:pPr>
              <w:widowControl/>
              <w:adjustRightInd w:val="0"/>
              <w:snapToGrid w:val="0"/>
              <w:ind w:firstLine="360" w:firstLineChars="150"/>
              <w:jc w:val="left"/>
              <w:rPr>
                <w:rFonts w:ascii="仿宋" w:hAnsi="仿宋" w:eastAsia="仿宋" w:cs="宋体"/>
                <w:kern w:val="0"/>
                <w:sz w:val="24"/>
                <w:szCs w:val="24"/>
              </w:rPr>
            </w:pPr>
            <w:r>
              <w:rPr>
                <w:rFonts w:hint="eastAsia" w:ascii="仿宋" w:hAnsi="仿宋" w:eastAsia="仿宋" w:cs="宋体"/>
                <w:kern w:val="0"/>
                <w:sz w:val="24"/>
                <w:szCs w:val="24"/>
              </w:rPr>
              <w:t>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A0204"/>
    <w:charset w:val="00"/>
    <w:family w:val="roman"/>
    <w:pitch w:val="default"/>
    <w:sig w:usb0="E00002FF" w:usb1="4000045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AD2"/>
    <w:rsid w:val="009B56C2"/>
    <w:rsid w:val="009E6F7F"/>
    <w:rsid w:val="00BB0AD2"/>
    <w:rsid w:val="00DA32A4"/>
    <w:rsid w:val="06793F11"/>
    <w:rsid w:val="2B344A0F"/>
    <w:rsid w:val="304A1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gzu</Company>
  <Pages>3</Pages>
  <Words>279</Words>
  <Characters>1592</Characters>
  <Lines>13</Lines>
  <Paragraphs>3</Paragraphs>
  <ScaleCrop>false</ScaleCrop>
  <LinksUpToDate>false</LinksUpToDate>
  <CharactersWithSpaces>1868</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2017-10-16T07:51:00Z</dcterms:created>
  <dc:creator>xbany</dc:creator>
  <cp:lastModifiedBy>Administrator</cp:lastModifiedBy>
  <dcterms:modified xsi:type="dcterms:W3CDTF">2017-10-21T01:57:01Z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