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16" w:rsidRPr="00830C72" w:rsidRDefault="009B0116" w:rsidP="00830C72">
      <w:pPr>
        <w:jc w:val="center"/>
        <w:rPr>
          <w:sz w:val="28"/>
        </w:rPr>
      </w:pPr>
      <w:r w:rsidRPr="00830C72">
        <w:rPr>
          <w:rFonts w:hint="eastAsia"/>
          <w:sz w:val="28"/>
        </w:rPr>
        <w:t>南京农业大学无锡渔业</w:t>
      </w:r>
      <w:r w:rsidR="0035700C" w:rsidRPr="00830C72">
        <w:rPr>
          <w:rFonts w:hint="eastAsia"/>
          <w:sz w:val="28"/>
        </w:rPr>
        <w:t>学院</w:t>
      </w:r>
    </w:p>
    <w:p w:rsidR="0035700C" w:rsidRDefault="0035700C" w:rsidP="00830C72">
      <w:pPr>
        <w:jc w:val="center"/>
        <w:rPr>
          <w:sz w:val="28"/>
        </w:rPr>
      </w:pPr>
      <w:r w:rsidRPr="00830C72">
        <w:rPr>
          <w:rFonts w:hint="eastAsia"/>
          <w:sz w:val="28"/>
        </w:rPr>
        <w:t>201</w:t>
      </w:r>
      <w:r w:rsidR="00537F73">
        <w:rPr>
          <w:rFonts w:hint="eastAsia"/>
          <w:sz w:val="28"/>
        </w:rPr>
        <w:t>7</w:t>
      </w:r>
      <w:r w:rsidRPr="00830C72">
        <w:rPr>
          <w:rFonts w:hint="eastAsia"/>
          <w:sz w:val="28"/>
        </w:rPr>
        <w:t>年硕士研究生招生复试</w:t>
      </w:r>
      <w:r w:rsidR="009B0116" w:rsidRPr="00830C72">
        <w:rPr>
          <w:rFonts w:hint="eastAsia"/>
          <w:sz w:val="28"/>
        </w:rPr>
        <w:t>录取</w:t>
      </w:r>
      <w:r w:rsidR="000F58B9" w:rsidRPr="00D17348">
        <w:rPr>
          <w:rFonts w:hint="eastAsia"/>
          <w:sz w:val="28"/>
        </w:rPr>
        <w:t>工作通知</w:t>
      </w:r>
    </w:p>
    <w:p w:rsidR="009B0116" w:rsidRPr="00830C72" w:rsidRDefault="009B0116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根据《南京农业大学关于做好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537F73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年硕士研究生招生录取工作的通知》的精神，结合无锡渔业学院的实际，特制定南京农业大学无锡渔业学院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537F73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年硕士研究生招生复试录取办法</w:t>
      </w:r>
      <w:r w:rsidR="00830C72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:rsidR="0035700C" w:rsidRPr="00830C72" w:rsidRDefault="0035700C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一、组织与领导</w:t>
      </w:r>
    </w:p>
    <w:p w:rsidR="0035700C" w:rsidRPr="00830C72" w:rsidRDefault="0035700C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学院成立研究生招生工作领导小组，负责组织、指导和协调本学院研究生招生工作。</w:t>
      </w:r>
    </w:p>
    <w:p w:rsidR="0035700C" w:rsidRPr="00830C72" w:rsidRDefault="0035700C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组长：</w:t>
      </w:r>
      <w:r w:rsidR="009B0116" w:rsidRPr="00830C72">
        <w:rPr>
          <w:rFonts w:ascii="Times New Roman" w:eastAsia="宋体" w:hAnsi="Times New Roman" w:cs="Times New Roman" w:hint="eastAsia"/>
          <w:sz w:val="24"/>
          <w:szCs w:val="24"/>
        </w:rPr>
        <w:t>徐跑</w:t>
      </w:r>
    </w:p>
    <w:p w:rsidR="008C3C26" w:rsidRPr="00830C72" w:rsidRDefault="0035700C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成员</w:t>
      </w:r>
      <w:r w:rsidR="005F3007">
        <w:rPr>
          <w:rFonts w:ascii="Times New Roman" w:eastAsia="宋体" w:hAnsi="Times New Roman" w:cs="Times New Roman" w:hint="eastAsia"/>
          <w:sz w:val="24"/>
          <w:szCs w:val="24"/>
        </w:rPr>
        <w:t>（按姓氏笔划排序）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5F3007" w:rsidRPr="00830C72">
        <w:rPr>
          <w:rFonts w:ascii="Times New Roman" w:eastAsia="宋体" w:hAnsi="Times New Roman" w:cs="Times New Roman" w:hint="eastAsia"/>
          <w:sz w:val="24"/>
          <w:szCs w:val="24"/>
        </w:rPr>
        <w:t>万一兵、</w:t>
      </w:r>
      <w:r w:rsidR="008C3C26" w:rsidRPr="00830C72">
        <w:rPr>
          <w:rFonts w:ascii="Times New Roman" w:eastAsia="宋体" w:hAnsi="Times New Roman" w:cs="Times New Roman" w:hint="eastAsia"/>
          <w:sz w:val="24"/>
          <w:szCs w:val="24"/>
        </w:rPr>
        <w:t>戈贤平、</w:t>
      </w:r>
      <w:r w:rsidR="005F3007" w:rsidRPr="00830C72">
        <w:rPr>
          <w:rFonts w:ascii="Times New Roman" w:eastAsia="宋体" w:hAnsi="Times New Roman" w:cs="Times New Roman" w:hint="eastAsia"/>
          <w:sz w:val="24"/>
          <w:szCs w:val="24"/>
        </w:rPr>
        <w:t>朱健</w:t>
      </w:r>
      <w:r w:rsidR="005F300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37F73">
        <w:rPr>
          <w:rFonts w:ascii="Times New Roman" w:eastAsia="宋体" w:hAnsi="Times New Roman" w:cs="Times New Roman" w:hint="eastAsia"/>
          <w:sz w:val="24"/>
          <w:szCs w:val="24"/>
        </w:rPr>
        <w:t>沈公铭、</w:t>
      </w:r>
      <w:r w:rsidR="008C3C26" w:rsidRPr="00830C72">
        <w:rPr>
          <w:rFonts w:ascii="Times New Roman" w:eastAsia="宋体" w:hAnsi="Times New Roman" w:cs="Times New Roman" w:hint="eastAsia"/>
          <w:sz w:val="24"/>
          <w:szCs w:val="24"/>
        </w:rPr>
        <w:t>袁新华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8C3C26" w:rsidRPr="00830C72">
        <w:rPr>
          <w:rFonts w:ascii="Times New Roman" w:eastAsia="宋体" w:hAnsi="Times New Roman" w:cs="Times New Roman" w:hint="eastAsia"/>
          <w:sz w:val="24"/>
          <w:szCs w:val="24"/>
        </w:rPr>
        <w:t>蒋高中</w:t>
      </w:r>
    </w:p>
    <w:p w:rsidR="0035700C" w:rsidRPr="00830C72" w:rsidRDefault="0035700C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秘书：</w:t>
      </w:r>
      <w:r w:rsidR="006F1356">
        <w:rPr>
          <w:rFonts w:ascii="Times New Roman" w:eastAsia="宋体" w:hAnsi="Times New Roman" w:cs="Times New Roman" w:hint="eastAsia"/>
          <w:sz w:val="24"/>
          <w:szCs w:val="24"/>
        </w:rPr>
        <w:t>吴滟</w:t>
      </w:r>
    </w:p>
    <w:p w:rsidR="0035700C" w:rsidRPr="00830C72" w:rsidRDefault="0035700C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二、复试</w:t>
      </w:r>
      <w:r w:rsidRPr="00D17348">
        <w:rPr>
          <w:rFonts w:ascii="Times New Roman" w:eastAsia="宋体" w:hAnsi="Times New Roman" w:cs="Times New Roman" w:hint="eastAsia"/>
          <w:sz w:val="24"/>
          <w:szCs w:val="24"/>
        </w:rPr>
        <w:t>内容</w:t>
      </w:r>
      <w:r w:rsidR="000F58B9" w:rsidRPr="00D17348">
        <w:rPr>
          <w:rFonts w:ascii="Times New Roman" w:eastAsia="宋体" w:hAnsi="Times New Roman" w:cs="Times New Roman" w:hint="eastAsia"/>
          <w:sz w:val="24"/>
          <w:szCs w:val="24"/>
        </w:rPr>
        <w:t>与计分方法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：复试总分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300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分，与初试成绩一并计入总分，作为最终录取依据。</w:t>
      </w:r>
    </w:p>
    <w:p w:rsidR="0035700C" w:rsidRPr="00830C72" w:rsidRDefault="0035700C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、专业课考试（笔试：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 xml:space="preserve"> 150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分</w:t>
      </w:r>
      <w:r w:rsidR="002C7E6F" w:rsidRPr="00830C72">
        <w:rPr>
          <w:rFonts w:ascii="Times New Roman" w:eastAsia="宋体" w:hAnsi="Times New Roman" w:cs="Times New Roman" w:hint="eastAsia"/>
          <w:sz w:val="24"/>
          <w:szCs w:val="24"/>
        </w:rPr>
        <w:t>；时间</w:t>
      </w:r>
      <w:r w:rsidR="002C7E6F" w:rsidRPr="00830C72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2C7E6F" w:rsidRPr="00830C72">
        <w:rPr>
          <w:rFonts w:ascii="Times New Roman" w:eastAsia="宋体" w:hAnsi="Times New Roman" w:cs="Times New Roman" w:hint="eastAsia"/>
          <w:sz w:val="24"/>
          <w:szCs w:val="24"/>
        </w:rPr>
        <w:t>小时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2C7E6F" w:rsidRPr="00830C72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81C83" w:rsidRPr="00E81C83" w:rsidRDefault="00C97108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5441B">
        <w:rPr>
          <w:rFonts w:ascii="Times New Roman" w:eastAsia="宋体" w:hAnsi="Times New Roman" w:cs="Times New Roman" w:hint="eastAsia"/>
          <w:sz w:val="24"/>
          <w:szCs w:val="24"/>
        </w:rPr>
        <w:t>专业课考试</w:t>
      </w:r>
      <w:r w:rsidR="006150DE" w:rsidRPr="0055441B">
        <w:rPr>
          <w:rFonts w:ascii="Times New Roman" w:eastAsia="宋体" w:hAnsi="Times New Roman" w:cs="Times New Roman" w:hint="eastAsia"/>
          <w:sz w:val="24"/>
          <w:szCs w:val="24"/>
        </w:rPr>
        <w:t>科目为</w:t>
      </w:r>
      <w:r w:rsidR="006150DE" w:rsidRPr="00E81C83">
        <w:rPr>
          <w:rFonts w:ascii="Times New Roman" w:eastAsia="宋体" w:hAnsi="Times New Roman" w:cs="Times New Roman" w:hint="eastAsia"/>
          <w:sz w:val="24"/>
          <w:szCs w:val="24"/>
        </w:rPr>
        <w:t>鱼类增养殖学</w:t>
      </w:r>
      <w:r w:rsidR="006150DE" w:rsidRPr="0055441B">
        <w:rPr>
          <w:rFonts w:ascii="Times New Roman" w:eastAsia="宋体" w:hAnsi="Times New Roman" w:cs="Times New Roman" w:hint="eastAsia"/>
          <w:sz w:val="24"/>
          <w:szCs w:val="24"/>
        </w:rPr>
        <w:t>。参考书目：</w:t>
      </w:r>
      <w:r w:rsidR="00E81C83" w:rsidRPr="00E81C83">
        <w:rPr>
          <w:rFonts w:ascii="Times New Roman" w:eastAsia="宋体" w:hAnsi="Times New Roman" w:cs="Times New Roman"/>
          <w:sz w:val="24"/>
          <w:szCs w:val="24"/>
        </w:rPr>
        <w:t>《</w:t>
      </w:r>
      <w:r w:rsidR="00E81C83" w:rsidRPr="00E81C83">
        <w:rPr>
          <w:rFonts w:ascii="Times New Roman" w:eastAsia="宋体" w:hAnsi="Times New Roman" w:cs="Times New Roman" w:hint="eastAsia"/>
          <w:sz w:val="24"/>
          <w:szCs w:val="24"/>
        </w:rPr>
        <w:t>鱼类增养殖学</w:t>
      </w:r>
      <w:r w:rsidR="00E81C83" w:rsidRPr="00E81C83">
        <w:rPr>
          <w:rFonts w:ascii="Times New Roman" w:eastAsia="宋体" w:hAnsi="Times New Roman" w:cs="Times New Roman"/>
          <w:sz w:val="24"/>
          <w:szCs w:val="24"/>
        </w:rPr>
        <w:t>》</w:t>
      </w:r>
      <w:r w:rsidR="00E81C83" w:rsidRPr="00E81C83">
        <w:rPr>
          <w:rFonts w:ascii="Times New Roman" w:eastAsia="宋体" w:hAnsi="Times New Roman" w:cs="Times New Roman" w:hint="eastAsia"/>
          <w:sz w:val="24"/>
          <w:szCs w:val="24"/>
        </w:rPr>
        <w:t>，王武主</w:t>
      </w:r>
      <w:r w:rsidR="00E81C83" w:rsidRPr="00E81C83">
        <w:rPr>
          <w:rFonts w:ascii="Times New Roman" w:eastAsia="宋体" w:hAnsi="Times New Roman" w:cs="Times New Roman"/>
          <w:sz w:val="24"/>
          <w:szCs w:val="24"/>
        </w:rPr>
        <w:t>编，中国农业出版社，</w:t>
      </w:r>
      <w:r w:rsidR="00E81C83" w:rsidRPr="00E81C83">
        <w:rPr>
          <w:rFonts w:ascii="Times New Roman" w:eastAsia="宋体" w:hAnsi="Times New Roman" w:cs="Times New Roman" w:hint="eastAsia"/>
          <w:sz w:val="24"/>
          <w:szCs w:val="24"/>
        </w:rPr>
        <w:t>2000</w:t>
      </w:r>
      <w:r w:rsidR="00E81C83" w:rsidRPr="00E81C83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E81C83" w:rsidRPr="00E81C83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="00E81C83" w:rsidRPr="00E81C83">
        <w:rPr>
          <w:rFonts w:ascii="Times New Roman" w:eastAsia="宋体" w:hAnsi="Times New Roman" w:cs="Times New Roman" w:hint="eastAsia"/>
          <w:sz w:val="24"/>
          <w:szCs w:val="24"/>
        </w:rPr>
        <w:t>月第</w:t>
      </w:r>
      <w:r w:rsidR="00E81C83" w:rsidRPr="00E81C83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E81C83" w:rsidRPr="00E81C83">
        <w:rPr>
          <w:rFonts w:ascii="Times New Roman" w:eastAsia="宋体" w:hAnsi="Times New Roman" w:cs="Times New Roman" w:hint="eastAsia"/>
          <w:sz w:val="24"/>
          <w:szCs w:val="24"/>
        </w:rPr>
        <w:t>版</w:t>
      </w:r>
      <w:r w:rsidR="006150DE" w:rsidRPr="0055441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6150DE" w:rsidRPr="00830C72" w:rsidRDefault="0035700C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6F1356">
        <w:rPr>
          <w:rFonts w:ascii="Times New Roman" w:eastAsia="宋体" w:hAnsi="Times New Roman" w:cs="Times New Roman" w:hint="eastAsia"/>
          <w:sz w:val="24"/>
          <w:szCs w:val="24"/>
        </w:rPr>
        <w:t>外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语</w:t>
      </w:r>
      <w:r w:rsidR="006F1356">
        <w:rPr>
          <w:rFonts w:ascii="Times New Roman" w:eastAsia="宋体" w:hAnsi="Times New Roman" w:cs="Times New Roman" w:hint="eastAsia"/>
          <w:sz w:val="24"/>
          <w:szCs w:val="24"/>
        </w:rPr>
        <w:t>听力及口语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测试</w:t>
      </w:r>
      <w:r w:rsidR="006150DE" w:rsidRPr="00830C72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6150DE" w:rsidRPr="00830C72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="006150DE" w:rsidRPr="00830C72">
        <w:rPr>
          <w:rFonts w:ascii="Times New Roman" w:eastAsia="宋体" w:hAnsi="Times New Roman" w:cs="Times New Roman" w:hint="eastAsia"/>
          <w:sz w:val="24"/>
          <w:szCs w:val="24"/>
        </w:rPr>
        <w:t>分）。</w:t>
      </w:r>
      <w:r w:rsidR="006F1356">
        <w:rPr>
          <w:rFonts w:ascii="Times New Roman" w:eastAsia="宋体" w:hAnsi="Times New Roman" w:cs="Times New Roman" w:hint="eastAsia"/>
          <w:sz w:val="24"/>
          <w:szCs w:val="24"/>
        </w:rPr>
        <w:t>根据相关材料听力测试、</w:t>
      </w:r>
      <w:r w:rsidR="006150DE" w:rsidRPr="00830C72">
        <w:rPr>
          <w:rFonts w:ascii="Times New Roman" w:eastAsia="宋体" w:hAnsi="Times New Roman" w:cs="Times New Roman"/>
          <w:sz w:val="24"/>
          <w:szCs w:val="24"/>
        </w:rPr>
        <w:t>自我介绍、</w:t>
      </w:r>
      <w:r w:rsidR="009657D5" w:rsidRPr="00830C72">
        <w:rPr>
          <w:rFonts w:ascii="Times New Roman" w:eastAsia="宋体" w:hAnsi="Times New Roman" w:cs="Times New Roman" w:hint="eastAsia"/>
          <w:sz w:val="24"/>
          <w:szCs w:val="24"/>
        </w:rPr>
        <w:t>口语交流</w:t>
      </w:r>
      <w:r w:rsidR="006150DE" w:rsidRPr="00830C72">
        <w:rPr>
          <w:rFonts w:ascii="Times New Roman" w:eastAsia="宋体" w:hAnsi="Times New Roman" w:cs="Times New Roman"/>
          <w:sz w:val="24"/>
          <w:szCs w:val="24"/>
        </w:rPr>
        <w:t>等</w:t>
      </w:r>
      <w:r w:rsidR="006F1356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="006150DE" w:rsidRPr="00830C72">
        <w:rPr>
          <w:rFonts w:ascii="Times New Roman" w:eastAsia="宋体" w:hAnsi="Times New Roman" w:cs="Times New Roman"/>
          <w:sz w:val="24"/>
          <w:szCs w:val="24"/>
        </w:rPr>
        <w:t>。</w:t>
      </w:r>
      <w:r w:rsidR="006F1356" w:rsidRPr="00706089">
        <w:rPr>
          <w:rFonts w:hint="eastAsia"/>
          <w:sz w:val="24"/>
        </w:rPr>
        <w:t>具体测试方式和操作程序由复试小组复试时确定</w:t>
      </w:r>
      <w:r w:rsidR="006F1356">
        <w:rPr>
          <w:rFonts w:hint="eastAsia"/>
          <w:sz w:val="24"/>
        </w:rPr>
        <w:t>。</w:t>
      </w:r>
    </w:p>
    <w:p w:rsidR="006150DE" w:rsidRPr="0055441B" w:rsidRDefault="0035700C" w:rsidP="003826E0">
      <w:pPr>
        <w:widowControl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5441B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55441B">
        <w:rPr>
          <w:rFonts w:ascii="Times New Roman" w:eastAsia="宋体" w:hAnsi="Times New Roman" w:cs="Times New Roman" w:hint="eastAsia"/>
          <w:sz w:val="24"/>
          <w:szCs w:val="24"/>
        </w:rPr>
        <w:t>、综合</w:t>
      </w:r>
      <w:r w:rsidR="00537F73">
        <w:rPr>
          <w:rFonts w:ascii="Times New Roman" w:eastAsia="宋体" w:hAnsi="Times New Roman" w:cs="Times New Roman" w:hint="eastAsia"/>
          <w:sz w:val="24"/>
          <w:szCs w:val="24"/>
        </w:rPr>
        <w:t>素质能力考核</w:t>
      </w:r>
      <w:r w:rsidR="006150DE" w:rsidRPr="0055441B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6150DE" w:rsidRPr="0055441B">
        <w:rPr>
          <w:rFonts w:ascii="Times New Roman" w:eastAsia="宋体" w:hAnsi="Times New Roman" w:cs="Times New Roman" w:hint="eastAsia"/>
          <w:sz w:val="24"/>
          <w:szCs w:val="24"/>
        </w:rPr>
        <w:t>100</w:t>
      </w:r>
      <w:r w:rsidR="00537F73">
        <w:rPr>
          <w:rFonts w:ascii="Times New Roman" w:eastAsia="宋体" w:hAnsi="Times New Roman" w:cs="Times New Roman" w:hint="eastAsia"/>
          <w:sz w:val="24"/>
          <w:szCs w:val="24"/>
        </w:rPr>
        <w:t>分）</w:t>
      </w:r>
      <w:r w:rsidR="006150DE" w:rsidRPr="0055441B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6F441E" w:rsidRPr="006F441E">
        <w:rPr>
          <w:rFonts w:ascii="Times New Roman" w:eastAsia="宋体" w:hAnsi="Times New Roman" w:cs="Times New Roman" w:hint="eastAsia"/>
          <w:sz w:val="24"/>
          <w:szCs w:val="24"/>
        </w:rPr>
        <w:t>大学阶段学习情况及成绩；掌握本学科基础知识，发现、分析和解决问题的能力，对本学科发展动态和最新进展情况的了解；创新精神和创新能力；实验操作或社会实践能力；思想政治素质和道德品质；事业心、责任感、纪律性、协作性、心理健康、诚信、人文素养、举止、表达和礼仪等方面表现等。</w:t>
      </w:r>
    </w:p>
    <w:p w:rsidR="00126198" w:rsidRDefault="006150DE" w:rsidP="003826E0">
      <w:pPr>
        <w:widowControl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5441B">
        <w:rPr>
          <w:rFonts w:ascii="Times New Roman" w:eastAsia="宋体" w:hAnsi="Times New Roman" w:cs="Times New Roman"/>
          <w:sz w:val="24"/>
          <w:szCs w:val="24"/>
        </w:rPr>
        <w:t>4</w:t>
      </w:r>
      <w:r w:rsidRPr="0055441B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55441B">
        <w:rPr>
          <w:rFonts w:ascii="Times New Roman" w:eastAsia="宋体" w:hAnsi="Times New Roman" w:cs="Times New Roman"/>
          <w:sz w:val="24"/>
          <w:szCs w:val="24"/>
        </w:rPr>
        <w:t>同等学力加试</w:t>
      </w:r>
      <w:r w:rsidR="006F441E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55441B">
        <w:rPr>
          <w:rFonts w:ascii="Times New Roman" w:eastAsia="宋体" w:hAnsi="Times New Roman" w:cs="Times New Roman"/>
          <w:sz w:val="24"/>
          <w:szCs w:val="24"/>
        </w:rPr>
        <w:t>复试结束后进行。加试科目由复试小组确定</w:t>
      </w:r>
      <w:r w:rsidR="00BF5483">
        <w:rPr>
          <w:rFonts w:ascii="Times New Roman" w:eastAsia="宋体" w:hAnsi="Times New Roman" w:cs="Times New Roman" w:hint="eastAsia"/>
          <w:sz w:val="24"/>
          <w:szCs w:val="24"/>
        </w:rPr>
        <w:t>，主要为与</w:t>
      </w:r>
      <w:r w:rsidR="004F27B2">
        <w:rPr>
          <w:rFonts w:ascii="Times New Roman" w:eastAsia="宋体" w:hAnsi="Times New Roman" w:cs="Times New Roman" w:hint="eastAsia"/>
          <w:sz w:val="24"/>
          <w:szCs w:val="24"/>
        </w:rPr>
        <w:t>报考专业相关并与初试科目不同的本科主干课程，其中笔试科目不少于两门</w:t>
      </w:r>
      <w:r w:rsidRPr="0055441B">
        <w:rPr>
          <w:rFonts w:ascii="Times New Roman" w:eastAsia="宋体" w:hAnsi="Times New Roman" w:cs="Times New Roman"/>
          <w:sz w:val="24"/>
          <w:szCs w:val="24"/>
        </w:rPr>
        <w:t>。</w:t>
      </w:r>
      <w:r w:rsidR="007F15D7" w:rsidRPr="0055441B">
        <w:rPr>
          <w:rFonts w:ascii="Times New Roman" w:eastAsia="宋体" w:hAnsi="Times New Roman" w:cs="Times New Roman"/>
          <w:sz w:val="24"/>
          <w:szCs w:val="24"/>
        </w:rPr>
        <w:t>加试科目成绩实行通过制，仅供录取参考，不计入录取成绩。</w:t>
      </w:r>
    </w:p>
    <w:p w:rsidR="007F15D7" w:rsidRPr="004A14AE" w:rsidRDefault="006150DE" w:rsidP="003826E0">
      <w:pPr>
        <w:widowControl/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55441B">
        <w:rPr>
          <w:rFonts w:ascii="Times New Roman" w:eastAsia="宋体" w:hAnsi="Times New Roman" w:cs="Times New Roman"/>
          <w:sz w:val="24"/>
          <w:szCs w:val="24"/>
        </w:rPr>
        <w:t>5</w:t>
      </w:r>
      <w:r w:rsidRPr="0055441B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55441B">
        <w:rPr>
          <w:rFonts w:ascii="Times New Roman" w:eastAsia="宋体" w:hAnsi="Times New Roman" w:cs="Times New Roman"/>
          <w:sz w:val="24"/>
          <w:szCs w:val="24"/>
        </w:rPr>
        <w:t>前三项复试成绩得分与初试成绩合计，作为各专业录取排名的依据。</w:t>
      </w:r>
      <w:r w:rsidR="007F15D7" w:rsidRPr="004A14AE">
        <w:rPr>
          <w:rFonts w:ascii="Times New Roman" w:eastAsia="宋体" w:hAnsi="Times New Roman" w:cs="Times New Roman" w:hint="eastAsia"/>
          <w:sz w:val="24"/>
          <w:szCs w:val="24"/>
        </w:rPr>
        <w:t>专业课考试、外语</w:t>
      </w:r>
      <w:r w:rsidR="00C82426">
        <w:rPr>
          <w:rFonts w:ascii="Times New Roman" w:eastAsia="宋体" w:hAnsi="Times New Roman" w:cs="Times New Roman" w:hint="eastAsia"/>
          <w:sz w:val="24"/>
          <w:szCs w:val="24"/>
        </w:rPr>
        <w:t>听力及口语</w:t>
      </w:r>
      <w:r w:rsidR="007F15D7" w:rsidRPr="004A14AE">
        <w:rPr>
          <w:rFonts w:ascii="Times New Roman" w:eastAsia="宋体" w:hAnsi="Times New Roman" w:cs="Times New Roman" w:hint="eastAsia"/>
          <w:sz w:val="24"/>
          <w:szCs w:val="24"/>
        </w:rPr>
        <w:t>测试、综合素质能力考核、政治思想考核、同等学力考生加试，任一项考核成绩不合格的考生均不予录取。</w:t>
      </w:r>
    </w:p>
    <w:p w:rsidR="0055441B" w:rsidRPr="00830C72" w:rsidRDefault="0055441B" w:rsidP="003826E0">
      <w:pPr>
        <w:spacing w:line="440" w:lineRule="exact"/>
      </w:pPr>
    </w:p>
    <w:p w:rsidR="0035700C" w:rsidRPr="00830C72" w:rsidRDefault="0035700C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三、复试资格说明</w:t>
      </w:r>
    </w:p>
    <w:p w:rsidR="003A1EB4" w:rsidRPr="00933BC7" w:rsidRDefault="007F15D7" w:rsidP="003826E0">
      <w:pPr>
        <w:pStyle w:val="1"/>
        <w:widowControl/>
        <w:spacing w:line="440" w:lineRule="exact"/>
        <w:ind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7F15D7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F15D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AC1AEB">
        <w:rPr>
          <w:rFonts w:ascii="Times New Roman" w:eastAsia="宋体" w:hAnsi="Times New Roman" w:cs="Times New Roman" w:hint="eastAsia"/>
          <w:sz w:val="24"/>
          <w:szCs w:val="24"/>
        </w:rPr>
        <w:t>各专业复试</w:t>
      </w:r>
      <w:r w:rsidR="009C62EC">
        <w:rPr>
          <w:rFonts w:ascii="Times New Roman" w:eastAsia="宋体" w:hAnsi="Times New Roman" w:cs="Times New Roman" w:hint="eastAsia"/>
          <w:sz w:val="24"/>
          <w:szCs w:val="24"/>
        </w:rPr>
        <w:t>资格线</w:t>
      </w:r>
      <w:r w:rsidR="00AC1AEB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7F15D7">
        <w:rPr>
          <w:rFonts w:ascii="Times New Roman" w:eastAsia="宋体" w:hAnsi="Times New Roman" w:cs="Times New Roman" w:hint="eastAsia"/>
          <w:sz w:val="24"/>
          <w:szCs w:val="24"/>
        </w:rPr>
        <w:t>第一志愿报</w:t>
      </w:r>
      <w:r w:rsidR="00AC1AEB">
        <w:rPr>
          <w:rFonts w:ascii="Times New Roman" w:eastAsia="宋体" w:hAnsi="Times New Roman" w:cs="Times New Roman" w:hint="eastAsia"/>
          <w:sz w:val="24"/>
          <w:szCs w:val="24"/>
        </w:rPr>
        <w:t>水产养殖专业的考生，总分</w:t>
      </w:r>
      <w:r w:rsidR="00AC1AEB" w:rsidRPr="00933BC7">
        <w:rPr>
          <w:rFonts w:ascii="Times New Roman" w:eastAsia="宋体" w:hAnsi="Times New Roman" w:cs="Times New Roman"/>
          <w:sz w:val="24"/>
          <w:szCs w:val="24"/>
        </w:rPr>
        <w:t>≥</w:t>
      </w:r>
      <w:r w:rsidR="00AC1AEB" w:rsidRPr="00933BC7">
        <w:rPr>
          <w:rFonts w:ascii="Times New Roman" w:eastAsia="宋体" w:hAnsi="Times New Roman" w:cs="Times New Roman" w:hint="eastAsia"/>
          <w:sz w:val="24"/>
          <w:szCs w:val="24"/>
        </w:rPr>
        <w:t>334</w:t>
      </w:r>
      <w:r w:rsidR="00AC1AEB" w:rsidRPr="00933BC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C1AEB" w:rsidRPr="00933BC7">
        <w:rPr>
          <w:rFonts w:ascii="Times New Roman" w:eastAsia="宋体" w:hAnsi="Times New Roman" w:cs="Times New Roman"/>
          <w:sz w:val="24"/>
          <w:szCs w:val="24"/>
        </w:rPr>
        <w:t>英语</w:t>
      </w:r>
      <w:r w:rsidR="00AC1AEB" w:rsidRPr="00933BC7">
        <w:rPr>
          <w:rFonts w:ascii="Times New Roman" w:eastAsia="宋体" w:hAnsi="Times New Roman" w:cs="Times New Roman"/>
          <w:sz w:val="24"/>
          <w:szCs w:val="24"/>
        </w:rPr>
        <w:t>≥</w:t>
      </w:r>
      <w:r w:rsidR="009C62EC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="00AC1AEB" w:rsidRPr="00933BC7">
        <w:rPr>
          <w:rFonts w:ascii="Times New Roman" w:eastAsia="宋体" w:hAnsi="Times New Roman" w:cs="Times New Roman" w:hint="eastAsia"/>
          <w:sz w:val="24"/>
          <w:szCs w:val="24"/>
        </w:rPr>
        <w:t>；第一志愿报考渔业资源的考生，</w:t>
      </w:r>
      <w:r w:rsidR="00AC1AEB">
        <w:rPr>
          <w:rFonts w:ascii="Times New Roman" w:eastAsia="宋体" w:hAnsi="Times New Roman" w:cs="Times New Roman" w:hint="eastAsia"/>
          <w:sz w:val="24"/>
          <w:szCs w:val="24"/>
        </w:rPr>
        <w:t>总分</w:t>
      </w:r>
      <w:r w:rsidR="00AC1AEB" w:rsidRPr="00933BC7">
        <w:rPr>
          <w:rFonts w:ascii="Times New Roman" w:eastAsia="宋体" w:hAnsi="Times New Roman" w:cs="Times New Roman"/>
          <w:sz w:val="24"/>
          <w:szCs w:val="24"/>
        </w:rPr>
        <w:t>≥</w:t>
      </w:r>
      <w:r w:rsidR="00D64BE8">
        <w:rPr>
          <w:rFonts w:ascii="Times New Roman" w:eastAsia="宋体" w:hAnsi="Times New Roman" w:cs="Times New Roman" w:hint="eastAsia"/>
          <w:sz w:val="24"/>
          <w:szCs w:val="24"/>
        </w:rPr>
        <w:t>298</w:t>
      </w:r>
      <w:r w:rsidR="00AC1AEB" w:rsidRPr="00933BC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C1AEB" w:rsidRPr="00933BC7">
        <w:rPr>
          <w:rFonts w:ascii="Times New Roman" w:eastAsia="宋体" w:hAnsi="Times New Roman" w:cs="Times New Roman"/>
          <w:sz w:val="24"/>
          <w:szCs w:val="24"/>
        </w:rPr>
        <w:t>英语</w:t>
      </w:r>
      <w:r w:rsidR="00AC1AEB" w:rsidRPr="00933BC7">
        <w:rPr>
          <w:rFonts w:ascii="Times New Roman" w:eastAsia="宋体" w:hAnsi="Times New Roman" w:cs="Times New Roman"/>
          <w:sz w:val="24"/>
          <w:szCs w:val="24"/>
        </w:rPr>
        <w:t>≥</w:t>
      </w:r>
      <w:r w:rsidR="00AC1AEB" w:rsidRPr="00933BC7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="00AC1AEB" w:rsidRPr="00933BC7">
        <w:rPr>
          <w:rFonts w:ascii="Times New Roman" w:eastAsia="宋体" w:hAnsi="Times New Roman" w:cs="Times New Roman" w:hint="eastAsia"/>
          <w:sz w:val="24"/>
          <w:szCs w:val="24"/>
        </w:rPr>
        <w:t>；第一志愿报考渔业专业的考生，</w:t>
      </w:r>
      <w:r w:rsidR="00AC1AEB">
        <w:rPr>
          <w:rFonts w:ascii="Times New Roman" w:eastAsia="宋体" w:hAnsi="Times New Roman" w:cs="Times New Roman" w:hint="eastAsia"/>
          <w:sz w:val="24"/>
          <w:szCs w:val="24"/>
        </w:rPr>
        <w:t>总分</w:t>
      </w:r>
      <w:r w:rsidR="00AC1AEB" w:rsidRPr="00933BC7">
        <w:rPr>
          <w:rFonts w:ascii="Times New Roman" w:eastAsia="宋体" w:hAnsi="Times New Roman" w:cs="Times New Roman"/>
          <w:sz w:val="24"/>
          <w:szCs w:val="24"/>
        </w:rPr>
        <w:t>≥</w:t>
      </w:r>
      <w:r w:rsidR="00D22FDC">
        <w:rPr>
          <w:rFonts w:ascii="Times New Roman" w:eastAsia="宋体" w:hAnsi="Times New Roman" w:cs="Times New Roman" w:hint="eastAsia"/>
          <w:sz w:val="24"/>
          <w:szCs w:val="24"/>
        </w:rPr>
        <w:t>279</w:t>
      </w:r>
      <w:r w:rsidR="00AC1AEB" w:rsidRPr="00933BC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C1AEB" w:rsidRPr="00933BC7">
        <w:rPr>
          <w:rFonts w:ascii="Times New Roman" w:eastAsia="宋体" w:hAnsi="Times New Roman" w:cs="Times New Roman"/>
          <w:sz w:val="24"/>
          <w:szCs w:val="24"/>
        </w:rPr>
        <w:t>英语</w:t>
      </w:r>
      <w:r w:rsidR="00AC1AEB" w:rsidRPr="00933BC7">
        <w:rPr>
          <w:rFonts w:ascii="Times New Roman" w:eastAsia="宋体" w:hAnsi="Times New Roman" w:cs="Times New Roman"/>
          <w:sz w:val="24"/>
          <w:szCs w:val="24"/>
        </w:rPr>
        <w:t>≥</w:t>
      </w:r>
      <w:r w:rsidR="00D22FDC">
        <w:rPr>
          <w:rFonts w:ascii="Times New Roman" w:eastAsia="宋体" w:hAnsi="Times New Roman" w:cs="Times New Roman" w:hint="eastAsia"/>
          <w:sz w:val="24"/>
          <w:szCs w:val="24"/>
        </w:rPr>
        <w:t>38</w:t>
      </w:r>
      <w:r w:rsidR="003A1EB4" w:rsidRPr="00933BC7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7F15D7" w:rsidRPr="007F15D7" w:rsidRDefault="007F15D7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F15D7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F15D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9C62EC">
        <w:rPr>
          <w:rFonts w:ascii="Times New Roman" w:eastAsia="宋体" w:hAnsi="Times New Roman" w:cs="Times New Roman" w:hint="eastAsia"/>
          <w:sz w:val="24"/>
          <w:szCs w:val="24"/>
        </w:rPr>
        <w:t>专业调剂</w:t>
      </w:r>
      <w:r w:rsidR="007B1725">
        <w:rPr>
          <w:rFonts w:ascii="Times New Roman" w:eastAsia="宋体" w:hAnsi="Times New Roman" w:cs="Times New Roman" w:hint="eastAsia"/>
          <w:sz w:val="24"/>
          <w:szCs w:val="24"/>
        </w:rPr>
        <w:t>要求</w:t>
      </w:r>
      <w:r w:rsidR="009C62EC">
        <w:rPr>
          <w:rFonts w:ascii="Times New Roman" w:eastAsia="宋体" w:hAnsi="Times New Roman" w:cs="Times New Roman" w:hint="eastAsia"/>
          <w:sz w:val="24"/>
          <w:szCs w:val="24"/>
        </w:rPr>
        <w:t>。我院渔业专业接受</w:t>
      </w:r>
      <w:r w:rsidR="007B1725">
        <w:rPr>
          <w:rFonts w:ascii="Times New Roman" w:eastAsia="宋体" w:hAnsi="Times New Roman" w:cs="Times New Roman" w:hint="eastAsia"/>
          <w:sz w:val="24"/>
          <w:szCs w:val="24"/>
        </w:rPr>
        <w:t>院内和校内</w:t>
      </w:r>
      <w:r w:rsidR="009C62EC">
        <w:rPr>
          <w:rFonts w:ascii="Times New Roman" w:eastAsia="宋体" w:hAnsi="Times New Roman" w:cs="Times New Roman" w:hint="eastAsia"/>
          <w:sz w:val="24"/>
          <w:szCs w:val="24"/>
        </w:rPr>
        <w:t>调剂生。</w:t>
      </w:r>
      <w:r w:rsidRPr="007F15D7">
        <w:rPr>
          <w:rFonts w:ascii="Times New Roman" w:eastAsia="宋体" w:hAnsi="Times New Roman" w:cs="Times New Roman" w:hint="eastAsia"/>
          <w:sz w:val="24"/>
          <w:szCs w:val="24"/>
        </w:rPr>
        <w:t>调剂原则参照《南京农业大学关于做好</w:t>
      </w:r>
      <w:r w:rsidRPr="007F15D7"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6F441E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7F15D7">
        <w:rPr>
          <w:rFonts w:ascii="Times New Roman" w:eastAsia="宋体" w:hAnsi="Times New Roman" w:cs="Times New Roman" w:hint="eastAsia"/>
          <w:sz w:val="24"/>
          <w:szCs w:val="24"/>
        </w:rPr>
        <w:t>年硕士研究生招生录取工作的通知》精神执行。</w:t>
      </w:r>
      <w:r w:rsidR="007B1725" w:rsidRPr="00933BC7">
        <w:rPr>
          <w:rFonts w:ascii="Times New Roman" w:eastAsia="宋体" w:hAnsi="Times New Roman" w:cs="Times New Roman"/>
          <w:sz w:val="24"/>
          <w:szCs w:val="24"/>
        </w:rPr>
        <w:t>优先考虑</w:t>
      </w:r>
      <w:r w:rsidR="007B1725">
        <w:rPr>
          <w:rFonts w:ascii="Times New Roman" w:eastAsia="宋体" w:hAnsi="Times New Roman" w:cs="Times New Roman" w:hint="eastAsia"/>
          <w:sz w:val="24"/>
          <w:szCs w:val="24"/>
        </w:rPr>
        <w:t>学院</w:t>
      </w:r>
      <w:r w:rsidR="007B1725" w:rsidRPr="00933BC7">
        <w:rPr>
          <w:rFonts w:ascii="Times New Roman" w:eastAsia="宋体" w:hAnsi="Times New Roman" w:cs="Times New Roman"/>
          <w:sz w:val="24"/>
          <w:szCs w:val="24"/>
        </w:rPr>
        <w:t>一志愿</w:t>
      </w:r>
      <w:r w:rsidR="007B1725" w:rsidRPr="00D17348">
        <w:rPr>
          <w:rFonts w:ascii="Times New Roman" w:eastAsia="宋体" w:hAnsi="Times New Roman" w:cs="Times New Roman" w:hint="eastAsia"/>
          <w:sz w:val="24"/>
          <w:szCs w:val="24"/>
        </w:rPr>
        <w:t>学硕</w:t>
      </w:r>
      <w:r w:rsidR="007B1725" w:rsidRPr="00933BC7">
        <w:rPr>
          <w:rFonts w:ascii="Times New Roman" w:eastAsia="宋体" w:hAnsi="Times New Roman" w:cs="Times New Roman"/>
          <w:sz w:val="24"/>
          <w:szCs w:val="24"/>
        </w:rPr>
        <w:t>生源</w:t>
      </w:r>
      <w:r w:rsidR="007B1725" w:rsidRPr="00933BC7">
        <w:rPr>
          <w:rFonts w:ascii="Times New Roman" w:eastAsia="宋体" w:hAnsi="Times New Roman" w:cs="Times New Roman" w:hint="eastAsia"/>
          <w:sz w:val="24"/>
          <w:szCs w:val="24"/>
        </w:rPr>
        <w:t>中</w:t>
      </w:r>
      <w:r w:rsidR="007B1725">
        <w:rPr>
          <w:rFonts w:ascii="Times New Roman" w:eastAsia="宋体" w:hAnsi="Times New Roman" w:cs="Times New Roman" w:hint="eastAsia"/>
          <w:sz w:val="24"/>
          <w:szCs w:val="24"/>
        </w:rPr>
        <w:t>的考生，</w:t>
      </w:r>
      <w:r w:rsidR="007B1725" w:rsidRPr="00933BC7">
        <w:rPr>
          <w:rFonts w:ascii="Times New Roman" w:eastAsia="宋体" w:hAnsi="Times New Roman" w:cs="Times New Roman" w:hint="eastAsia"/>
          <w:sz w:val="24"/>
          <w:szCs w:val="24"/>
        </w:rPr>
        <w:t>符合调剂条件的</w:t>
      </w:r>
      <w:r w:rsidR="007B1725">
        <w:rPr>
          <w:rFonts w:ascii="Times New Roman" w:eastAsia="宋体" w:hAnsi="Times New Roman" w:cs="Times New Roman" w:hint="eastAsia"/>
          <w:sz w:val="24"/>
          <w:szCs w:val="24"/>
        </w:rPr>
        <w:t>校内</w:t>
      </w:r>
      <w:r w:rsidR="007B1725" w:rsidRPr="00933BC7">
        <w:rPr>
          <w:rFonts w:ascii="Times New Roman" w:eastAsia="宋体" w:hAnsi="Times New Roman" w:cs="Times New Roman" w:hint="eastAsia"/>
          <w:sz w:val="24"/>
          <w:szCs w:val="24"/>
        </w:rPr>
        <w:t>专业学位</w:t>
      </w:r>
      <w:r w:rsidR="007B1725">
        <w:rPr>
          <w:rFonts w:ascii="Times New Roman" w:eastAsia="宋体" w:hAnsi="Times New Roman" w:cs="Times New Roman" w:hint="eastAsia"/>
          <w:sz w:val="24"/>
          <w:szCs w:val="24"/>
        </w:rPr>
        <w:t>的考生</w:t>
      </w:r>
      <w:r w:rsidR="007B1725" w:rsidRPr="00933BC7">
        <w:rPr>
          <w:rFonts w:ascii="Times New Roman" w:eastAsia="宋体" w:hAnsi="Times New Roman" w:cs="Times New Roman" w:hint="eastAsia"/>
          <w:sz w:val="24"/>
          <w:szCs w:val="24"/>
        </w:rPr>
        <w:t>也可调剂进本专业。</w:t>
      </w:r>
    </w:p>
    <w:p w:rsidR="0035700C" w:rsidRDefault="007F15D7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F15D7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7F15D7">
        <w:rPr>
          <w:rFonts w:ascii="Times New Roman" w:eastAsia="宋体" w:hAnsi="Times New Roman" w:cs="Times New Roman" w:hint="eastAsia"/>
          <w:sz w:val="24"/>
          <w:szCs w:val="24"/>
        </w:rPr>
        <w:t>、调剂生复试与第一志愿考生、</w:t>
      </w:r>
      <w:r w:rsidR="000F58B9" w:rsidRPr="00D17348">
        <w:rPr>
          <w:rFonts w:ascii="Times New Roman" w:eastAsia="宋体" w:hAnsi="Times New Roman" w:cs="Times New Roman" w:hint="eastAsia"/>
          <w:sz w:val="24"/>
          <w:szCs w:val="24"/>
        </w:rPr>
        <w:t>推荐</w:t>
      </w:r>
      <w:r w:rsidRPr="007F15D7">
        <w:rPr>
          <w:rFonts w:ascii="Times New Roman" w:eastAsia="宋体" w:hAnsi="Times New Roman" w:cs="Times New Roman" w:hint="eastAsia"/>
          <w:sz w:val="24"/>
          <w:szCs w:val="24"/>
        </w:rPr>
        <w:t>免试生同时进行复试。</w:t>
      </w:r>
    </w:p>
    <w:p w:rsidR="00AC1AEB" w:rsidRPr="00AC1AEB" w:rsidRDefault="00593391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、参加复试与拟招生人数差额比例按照学校要求执行。</w:t>
      </w:r>
    </w:p>
    <w:p w:rsidR="0035700C" w:rsidRPr="00830C72" w:rsidRDefault="0035700C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四、复试时间及地点</w:t>
      </w:r>
    </w:p>
    <w:tbl>
      <w:tblPr>
        <w:tblW w:w="7797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708"/>
        <w:gridCol w:w="5100"/>
      </w:tblGrid>
      <w:tr w:rsidR="0035700C" w:rsidRPr="0055441B" w:rsidTr="00AE748C">
        <w:trPr>
          <w:trHeight w:val="367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0C" w:rsidRPr="0055441B" w:rsidRDefault="0035700C" w:rsidP="003826E0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日程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0C" w:rsidRPr="0055441B" w:rsidRDefault="0035700C" w:rsidP="003826E0">
            <w:pPr>
              <w:widowControl/>
              <w:spacing w:line="440" w:lineRule="exact"/>
              <w:ind w:rightChars="353" w:right="74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内容</w:t>
            </w:r>
          </w:p>
        </w:tc>
      </w:tr>
      <w:tr w:rsidR="0035700C" w:rsidRPr="0055441B" w:rsidTr="00AE748C">
        <w:trPr>
          <w:trHeight w:val="2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0C" w:rsidRPr="0055441B" w:rsidRDefault="00C82426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8626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0C" w:rsidRPr="0055441B" w:rsidRDefault="00C82426" w:rsidP="003826E0">
            <w:pPr>
              <w:widowControl/>
              <w:spacing w:line="440" w:lineRule="exact"/>
              <w:ind w:rightChars="353" w:right="741" w:firstLine="33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第一志愿</w:t>
            </w:r>
            <w:r w:rsidR="00D64BE8">
              <w:rPr>
                <w:rFonts w:hint="eastAsia"/>
                <w:sz w:val="24"/>
              </w:rPr>
              <w:t>复试名单</w:t>
            </w:r>
            <w:r w:rsidRPr="00706089">
              <w:rPr>
                <w:rFonts w:hint="eastAsia"/>
                <w:sz w:val="24"/>
              </w:rPr>
              <w:t>在南京农业大学研招网发布</w:t>
            </w:r>
          </w:p>
        </w:tc>
      </w:tr>
      <w:tr w:rsidR="00C82426" w:rsidRPr="0055441B" w:rsidTr="00AE748C">
        <w:trPr>
          <w:trHeight w:val="286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26" w:rsidRPr="0055441B" w:rsidRDefault="00C82426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8626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-2</w:t>
            </w:r>
            <w:r w:rsidR="008626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26" w:rsidRPr="0055441B" w:rsidRDefault="00C82426" w:rsidP="003826E0">
            <w:pPr>
              <w:widowControl/>
              <w:spacing w:line="440" w:lineRule="exact"/>
              <w:ind w:rightChars="353" w:right="741" w:firstLine="33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进入复试名单的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第一志愿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学校研招网上确认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专业课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考试科目</w:t>
            </w:r>
          </w:p>
        </w:tc>
      </w:tr>
      <w:tr w:rsidR="0035700C" w:rsidRPr="0055441B" w:rsidTr="00AE748C">
        <w:trPr>
          <w:trHeight w:val="249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0C" w:rsidRPr="0055441B" w:rsidRDefault="0035700C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8626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23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00C" w:rsidRPr="0055441B" w:rsidRDefault="00CA5F40" w:rsidP="003826E0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确定并公布调剂生复试名单，同时调剂生在网上确认专业课考试科目</w:t>
            </w:r>
          </w:p>
        </w:tc>
      </w:tr>
      <w:tr w:rsidR="001130DC" w:rsidRPr="0055441B" w:rsidTr="00AE748C">
        <w:trPr>
          <w:trHeight w:val="906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DC" w:rsidRPr="0055441B" w:rsidRDefault="00FC17B2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1130DC"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C8242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8626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="001130DC"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1130DC" w:rsidRPr="0055441B" w:rsidRDefault="00B3553F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 w:rsidR="001130DC"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:00-1</w:t>
            </w:r>
            <w:r w:rsidR="00654F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1130DC"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="000939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1130DC"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1B" w:rsidRDefault="001130DC" w:rsidP="003826E0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验收</w:t>
            </w:r>
          </w:p>
          <w:p w:rsidR="001130DC" w:rsidRPr="0055441B" w:rsidRDefault="001130DC" w:rsidP="003826E0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</w:p>
          <w:p w:rsidR="001130DC" w:rsidRPr="0055441B" w:rsidRDefault="001130DC" w:rsidP="003826E0">
            <w:pPr>
              <w:widowControl/>
              <w:spacing w:line="440" w:lineRule="exact"/>
              <w:ind w:firstLine="33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DC" w:rsidRPr="0055441B" w:rsidRDefault="001130DC" w:rsidP="003826E0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身份证和其他相关证件（往届生须携带毕业或学位证书原件，应届本科生须携带学生证）原件与复印件各一份，复印件留档。</w:t>
            </w:r>
          </w:p>
        </w:tc>
      </w:tr>
      <w:tr w:rsidR="001130DC" w:rsidRPr="0055441B" w:rsidTr="00AE748C">
        <w:trPr>
          <w:trHeight w:val="394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DC" w:rsidRPr="0055441B" w:rsidRDefault="001130DC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DC" w:rsidRPr="0055441B" w:rsidRDefault="001130DC" w:rsidP="003826E0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DC" w:rsidRPr="0055441B" w:rsidRDefault="001130DC" w:rsidP="003826E0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由所在学校教务部门盖章的本、专（同等学力）科《大学阶段学习成绩单》。</w:t>
            </w:r>
          </w:p>
        </w:tc>
      </w:tr>
      <w:tr w:rsidR="001130DC" w:rsidRPr="004F4FFB" w:rsidTr="00AE748C">
        <w:trPr>
          <w:trHeight w:val="616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DC" w:rsidRPr="0055441B" w:rsidRDefault="001130DC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DC" w:rsidRPr="0055441B" w:rsidRDefault="001130DC" w:rsidP="003826E0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DC" w:rsidRPr="0055441B" w:rsidRDefault="001130DC" w:rsidP="003826E0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3. 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经政治思想工作部门盖章的《政治思想品德考核表》</w:t>
            </w:r>
            <w:r w:rsidR="00126198" w:rsidRPr="00126198">
              <w:rPr>
                <w:rFonts w:hint="eastAsia"/>
                <w:sz w:val="24"/>
                <w:szCs w:val="24"/>
              </w:rPr>
              <w:t>（</w:t>
            </w:r>
            <w:hyperlink r:id="rId7" w:history="1">
              <w:r w:rsidR="00126198" w:rsidRPr="00126198">
                <w:rPr>
                  <w:rStyle w:val="a3"/>
                  <w:rFonts w:hint="eastAsia"/>
                  <w:sz w:val="24"/>
                  <w:szCs w:val="24"/>
                </w:rPr>
                <w:t>点击下载</w:t>
              </w:r>
            </w:hyperlink>
            <w:r w:rsidR="00126198" w:rsidRPr="00126198">
              <w:rPr>
                <w:rFonts w:hint="eastAsia"/>
                <w:sz w:val="24"/>
                <w:szCs w:val="24"/>
              </w:rPr>
              <w:t>）</w:t>
            </w:r>
            <w:r w:rsidRPr="001261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3826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应届生由所在学校盖章，往届生中由</w:t>
            </w:r>
            <w:r w:rsidR="0089256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工作单位的由工作单位盖章，没有工作单位的可以在原毕业学校盖章，也可以在户口所在地居民委员会、街道办事处盖章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1130DC" w:rsidRPr="0055441B" w:rsidTr="00AE748C">
        <w:trPr>
          <w:trHeight w:val="510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DC" w:rsidRPr="0055441B" w:rsidRDefault="001130DC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0DC" w:rsidRPr="0055441B" w:rsidRDefault="001130DC" w:rsidP="003826E0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DC" w:rsidRPr="00126198" w:rsidRDefault="001130DC" w:rsidP="003826E0">
            <w:pPr>
              <w:widowControl/>
              <w:spacing w:line="440" w:lineRule="exact"/>
              <w:jc w:val="left"/>
            </w:pPr>
            <w:r w:rsidRPr="001261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  <w:r w:rsidRPr="0012619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加分项目考生提供相关证明材料和专业排名证明。</w:t>
            </w:r>
          </w:p>
        </w:tc>
      </w:tr>
      <w:tr w:rsidR="001130DC" w:rsidRPr="0055441B" w:rsidTr="00AE748C">
        <w:trPr>
          <w:trHeight w:val="255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DC" w:rsidRPr="0055441B" w:rsidRDefault="001130DC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DC" w:rsidRPr="0055441B" w:rsidRDefault="001130DC" w:rsidP="003826E0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0DC" w:rsidRPr="0055441B" w:rsidRDefault="001130DC" w:rsidP="003826E0">
            <w:pPr>
              <w:tabs>
                <w:tab w:val="num" w:pos="450"/>
              </w:tabs>
              <w:spacing w:line="440" w:lineRule="exact"/>
              <w:ind w:left="450" w:hanging="45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复试费用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80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元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人。</w:t>
            </w:r>
          </w:p>
        </w:tc>
      </w:tr>
      <w:tr w:rsidR="00654F29" w:rsidRPr="0055441B" w:rsidTr="00654F29">
        <w:trPr>
          <w:trHeight w:val="111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Pr="0055441B" w:rsidRDefault="00654F29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8626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25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654F29" w:rsidRPr="0055441B" w:rsidRDefault="0086263D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="00654F29"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</w:t>
            </w:r>
            <w:r w:rsidR="00654F29"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9:2</w:t>
            </w:r>
            <w:r w:rsidR="00654F29"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Pr="0055441B" w:rsidRDefault="00654F29" w:rsidP="003826E0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体检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Pr="0055441B" w:rsidRDefault="00654F29" w:rsidP="003826E0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地点：</w:t>
            </w:r>
            <w:r w:rsidR="008626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点整南区留学生招待所前乘校车集体前往医院（体检须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携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带一寸相片一张）</w:t>
            </w:r>
            <w:r w:rsidR="003826E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，现场收取体检费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654F29" w:rsidRPr="0055441B" w:rsidTr="00AE748C">
        <w:trPr>
          <w:trHeight w:val="1112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Pr="0055441B" w:rsidRDefault="00654F29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8626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654F29" w:rsidRPr="0055441B" w:rsidRDefault="0086263D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654F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:30</w:t>
            </w:r>
            <w:r w:rsidR="00654F29"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12</w:t>
            </w:r>
            <w:r w:rsidR="00654F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:3</w:t>
            </w:r>
            <w:r w:rsidR="00654F29"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Pr="0055441B" w:rsidRDefault="00654F29" w:rsidP="003826E0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专业课考试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Pr="0055441B" w:rsidRDefault="00654F29" w:rsidP="003826E0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地点：南京农业大学无锡渔业学院（中国水产科学研究院淡水渔业研究中心）南区阶梯教室。</w:t>
            </w:r>
          </w:p>
        </w:tc>
      </w:tr>
      <w:tr w:rsidR="00654F29" w:rsidRPr="0055441B" w:rsidTr="006046ED">
        <w:trPr>
          <w:trHeight w:val="825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Pr="0055441B" w:rsidRDefault="00654F29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8626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25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654F29" w:rsidRDefault="00654F29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="008626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:00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 w:rsidR="008626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:0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Pr="0055441B" w:rsidRDefault="00654F29" w:rsidP="003826E0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外语听力及口语测试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Pr="0055441B" w:rsidRDefault="00654F29" w:rsidP="00417893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水产养殖地点：学院南区</w:t>
            </w:r>
            <w:r w:rsidR="004178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C201</w:t>
            </w:r>
          </w:p>
        </w:tc>
      </w:tr>
      <w:tr w:rsidR="00654F29" w:rsidRPr="0055441B" w:rsidTr="006336D1">
        <w:trPr>
          <w:trHeight w:val="726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Default="00654F29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Default="00654F29" w:rsidP="003826E0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Pr="0055441B" w:rsidRDefault="0086263D" w:rsidP="00417893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渔业资源</w:t>
            </w:r>
            <w:r w:rsidR="00654F29"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地点：学院南区</w:t>
            </w:r>
            <w:r w:rsidR="004178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C201</w:t>
            </w:r>
          </w:p>
        </w:tc>
      </w:tr>
      <w:tr w:rsidR="00654F29" w:rsidRPr="0055441B" w:rsidTr="006336D1">
        <w:trPr>
          <w:trHeight w:val="694"/>
        </w:trPr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Default="00654F29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Default="00654F29" w:rsidP="003826E0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Pr="0055441B" w:rsidRDefault="00654F29" w:rsidP="00417893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渔业地点：学院南区</w:t>
            </w:r>
            <w:r w:rsidR="004178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C205</w:t>
            </w:r>
          </w:p>
        </w:tc>
      </w:tr>
      <w:tr w:rsidR="00654F29" w:rsidRPr="0055441B" w:rsidTr="006336D1">
        <w:trPr>
          <w:trHeight w:val="704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ACF" w:rsidRDefault="00654F29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86263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654F29" w:rsidRPr="0055441B" w:rsidRDefault="00654F29" w:rsidP="00E60ACF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8:30-16</w:t>
            </w: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29" w:rsidRPr="0055441B" w:rsidRDefault="00654F29" w:rsidP="003826E0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综合素质及能力考核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29" w:rsidRPr="0055441B" w:rsidRDefault="00654F29" w:rsidP="003826E0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水产养殖地点：</w:t>
            </w:r>
            <w:bookmarkStart w:id="0" w:name="OLE_LINK15"/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学院南区</w:t>
            </w:r>
            <w:bookmarkEnd w:id="0"/>
            <w:r w:rsidR="004178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C201</w:t>
            </w:r>
          </w:p>
        </w:tc>
      </w:tr>
      <w:tr w:rsidR="00654F29" w:rsidRPr="0055441B" w:rsidTr="006336D1">
        <w:trPr>
          <w:trHeight w:val="828"/>
        </w:trPr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Default="00654F29" w:rsidP="003826E0">
            <w:pPr>
              <w:widowControl/>
              <w:spacing w:line="440" w:lineRule="exact"/>
              <w:ind w:firstLine="33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Pr="0055441B" w:rsidRDefault="00654F29" w:rsidP="003826E0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29" w:rsidRPr="0055441B" w:rsidRDefault="003826E0" w:rsidP="003826E0">
            <w:pPr>
              <w:widowControl/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渔业资源</w:t>
            </w:r>
            <w:r w:rsidR="00654F29"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地点：学院南区</w:t>
            </w:r>
            <w:r w:rsidR="004178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C201</w:t>
            </w:r>
            <w:bookmarkStart w:id="1" w:name="_GoBack"/>
            <w:bookmarkEnd w:id="1"/>
          </w:p>
        </w:tc>
      </w:tr>
      <w:tr w:rsidR="00654F29" w:rsidRPr="00417893" w:rsidTr="006336D1">
        <w:trPr>
          <w:trHeight w:val="710"/>
        </w:trPr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9" w:rsidRPr="0055441B" w:rsidRDefault="00654F29" w:rsidP="003826E0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29" w:rsidRPr="0055441B" w:rsidRDefault="00654F29" w:rsidP="003826E0">
            <w:pPr>
              <w:widowControl/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29" w:rsidRPr="0055441B" w:rsidRDefault="00654F29" w:rsidP="003826E0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44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渔业地点：学院南区</w:t>
            </w:r>
            <w:r w:rsidR="004178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C205</w:t>
            </w:r>
          </w:p>
        </w:tc>
      </w:tr>
    </w:tbl>
    <w:p w:rsidR="00DA198A" w:rsidRDefault="00DA198A" w:rsidP="003826E0">
      <w:pPr>
        <w:spacing w:line="440" w:lineRule="exact"/>
      </w:pPr>
    </w:p>
    <w:p w:rsidR="0035700C" w:rsidRPr="00126198" w:rsidRDefault="0035700C" w:rsidP="003826E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26198">
        <w:rPr>
          <w:rFonts w:asciiTheme="minorEastAsia" w:hAnsiTheme="minorEastAsia" w:hint="eastAsia"/>
          <w:sz w:val="24"/>
          <w:szCs w:val="24"/>
        </w:rPr>
        <w:t>五、关于</w:t>
      </w:r>
      <w:r w:rsidR="000F58B9" w:rsidRPr="00D17348">
        <w:rPr>
          <w:rFonts w:ascii="Times New Roman" w:eastAsia="宋体" w:hAnsi="Times New Roman" w:cs="Times New Roman" w:hint="eastAsia"/>
          <w:sz w:val="24"/>
          <w:szCs w:val="24"/>
        </w:rPr>
        <w:t>推荐</w:t>
      </w:r>
      <w:r w:rsidRPr="00126198">
        <w:rPr>
          <w:rFonts w:asciiTheme="minorEastAsia" w:hAnsiTheme="minorEastAsia" w:hint="eastAsia"/>
          <w:sz w:val="24"/>
          <w:szCs w:val="24"/>
        </w:rPr>
        <w:t>免试生</w:t>
      </w:r>
    </w:p>
    <w:p w:rsidR="0035700C" w:rsidRPr="00126198" w:rsidRDefault="0035700C" w:rsidP="003826E0">
      <w:pPr>
        <w:spacing w:line="44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126198">
        <w:rPr>
          <w:rFonts w:asciiTheme="minorEastAsia" w:hAnsiTheme="minorEastAsia" w:hint="eastAsia"/>
          <w:sz w:val="24"/>
          <w:szCs w:val="24"/>
        </w:rPr>
        <w:t>所有</w:t>
      </w:r>
      <w:r w:rsidR="000F58B9" w:rsidRPr="00D17348">
        <w:rPr>
          <w:rFonts w:ascii="Times New Roman" w:eastAsia="宋体" w:hAnsi="Times New Roman" w:cs="Times New Roman" w:hint="eastAsia"/>
          <w:sz w:val="24"/>
          <w:szCs w:val="24"/>
        </w:rPr>
        <w:t>推荐</w:t>
      </w:r>
      <w:r w:rsidRPr="00126198">
        <w:rPr>
          <w:rFonts w:asciiTheme="minorEastAsia" w:hAnsiTheme="minorEastAsia" w:hint="eastAsia"/>
          <w:sz w:val="24"/>
          <w:szCs w:val="24"/>
        </w:rPr>
        <w:t>免试生需带学生成绩单、思想政治考核表</w:t>
      </w:r>
      <w:r w:rsidR="0092483D" w:rsidRPr="00126198">
        <w:rPr>
          <w:rFonts w:asciiTheme="minorEastAsia" w:hAnsiTheme="minorEastAsia" w:hint="eastAsia"/>
          <w:sz w:val="24"/>
          <w:szCs w:val="24"/>
        </w:rPr>
        <w:t>等</w:t>
      </w:r>
      <w:r w:rsidRPr="00126198">
        <w:rPr>
          <w:rFonts w:asciiTheme="minorEastAsia" w:hAnsiTheme="minorEastAsia" w:hint="eastAsia"/>
          <w:sz w:val="24"/>
          <w:szCs w:val="24"/>
        </w:rPr>
        <w:t>于</w:t>
      </w:r>
      <w:r w:rsidR="00093950">
        <w:rPr>
          <w:rFonts w:asciiTheme="minorEastAsia" w:hAnsiTheme="minorEastAsia" w:hint="eastAsia"/>
          <w:sz w:val="24"/>
          <w:szCs w:val="24"/>
        </w:rPr>
        <w:t>3</w:t>
      </w:r>
      <w:r w:rsidRPr="00126198">
        <w:rPr>
          <w:rFonts w:asciiTheme="minorEastAsia" w:hAnsiTheme="minorEastAsia" w:hint="eastAsia"/>
          <w:sz w:val="24"/>
          <w:szCs w:val="24"/>
        </w:rPr>
        <w:t>月</w:t>
      </w:r>
      <w:r w:rsidR="00093950">
        <w:rPr>
          <w:rFonts w:asciiTheme="minorEastAsia" w:hAnsiTheme="minorEastAsia" w:hint="eastAsia"/>
          <w:sz w:val="24"/>
          <w:szCs w:val="24"/>
        </w:rPr>
        <w:t>2</w:t>
      </w:r>
      <w:r w:rsidR="0086263D">
        <w:rPr>
          <w:rFonts w:asciiTheme="minorEastAsia" w:hAnsiTheme="minorEastAsia" w:hint="eastAsia"/>
          <w:sz w:val="24"/>
          <w:szCs w:val="24"/>
        </w:rPr>
        <w:t>4</w:t>
      </w:r>
      <w:r w:rsidRPr="00126198">
        <w:rPr>
          <w:rFonts w:asciiTheme="minorEastAsia" w:hAnsiTheme="minorEastAsia" w:hint="eastAsia"/>
          <w:sz w:val="24"/>
          <w:szCs w:val="24"/>
        </w:rPr>
        <w:t>日下午1</w:t>
      </w:r>
      <w:r w:rsidR="00841E48" w:rsidRPr="00126198">
        <w:rPr>
          <w:rFonts w:asciiTheme="minorEastAsia" w:hAnsiTheme="minorEastAsia" w:hint="eastAsia"/>
          <w:sz w:val="24"/>
          <w:szCs w:val="24"/>
        </w:rPr>
        <w:t>3</w:t>
      </w:r>
      <w:r w:rsidRPr="00126198">
        <w:rPr>
          <w:rFonts w:asciiTheme="minorEastAsia" w:hAnsiTheme="minorEastAsia" w:hint="eastAsia"/>
          <w:sz w:val="24"/>
          <w:szCs w:val="24"/>
        </w:rPr>
        <w:t>:</w:t>
      </w:r>
      <w:r w:rsidR="00841E48" w:rsidRPr="00126198">
        <w:rPr>
          <w:rFonts w:asciiTheme="minorEastAsia" w:hAnsiTheme="minorEastAsia" w:hint="eastAsia"/>
          <w:sz w:val="24"/>
          <w:szCs w:val="24"/>
        </w:rPr>
        <w:t>3</w:t>
      </w:r>
      <w:r w:rsidRPr="00126198">
        <w:rPr>
          <w:rFonts w:asciiTheme="minorEastAsia" w:hAnsiTheme="minorEastAsia" w:hint="eastAsia"/>
          <w:sz w:val="24"/>
          <w:szCs w:val="24"/>
        </w:rPr>
        <w:t>0-1</w:t>
      </w:r>
      <w:r w:rsidR="00841E48" w:rsidRPr="00126198">
        <w:rPr>
          <w:rFonts w:asciiTheme="minorEastAsia" w:hAnsiTheme="minorEastAsia" w:hint="eastAsia"/>
          <w:sz w:val="24"/>
          <w:szCs w:val="24"/>
        </w:rPr>
        <w:t>5</w:t>
      </w:r>
      <w:r w:rsidRPr="00126198">
        <w:rPr>
          <w:rFonts w:asciiTheme="minorEastAsia" w:hAnsiTheme="minorEastAsia" w:hint="eastAsia"/>
          <w:sz w:val="24"/>
          <w:szCs w:val="24"/>
        </w:rPr>
        <w:t>:</w:t>
      </w:r>
      <w:r w:rsidR="00841E48" w:rsidRPr="00126198">
        <w:rPr>
          <w:rFonts w:asciiTheme="minorEastAsia" w:hAnsiTheme="minorEastAsia" w:hint="eastAsia"/>
          <w:sz w:val="24"/>
          <w:szCs w:val="24"/>
        </w:rPr>
        <w:t>3</w:t>
      </w:r>
      <w:r w:rsidRPr="00126198">
        <w:rPr>
          <w:rFonts w:asciiTheme="minorEastAsia" w:hAnsiTheme="minorEastAsia" w:hint="eastAsia"/>
          <w:sz w:val="24"/>
          <w:szCs w:val="24"/>
        </w:rPr>
        <w:t>0到</w:t>
      </w:r>
      <w:r w:rsidR="0092483D" w:rsidRPr="00126198">
        <w:rPr>
          <w:rFonts w:asciiTheme="minorEastAsia" w:hAnsiTheme="minorEastAsia" w:hint="eastAsia"/>
          <w:sz w:val="24"/>
          <w:szCs w:val="24"/>
        </w:rPr>
        <w:t>学院人事</w:t>
      </w:r>
      <w:r w:rsidR="00D71B85">
        <w:rPr>
          <w:rFonts w:asciiTheme="minorEastAsia" w:hAnsiTheme="minorEastAsia" w:hint="eastAsia"/>
          <w:sz w:val="24"/>
          <w:szCs w:val="24"/>
        </w:rPr>
        <w:t>人才</w:t>
      </w:r>
      <w:r w:rsidR="0092483D" w:rsidRPr="00126198">
        <w:rPr>
          <w:rFonts w:asciiTheme="minorEastAsia" w:hAnsiTheme="minorEastAsia" w:hint="eastAsia"/>
          <w:sz w:val="24"/>
          <w:szCs w:val="24"/>
        </w:rPr>
        <w:t>处</w:t>
      </w:r>
      <w:r w:rsidR="009657D5" w:rsidRPr="00126198">
        <w:rPr>
          <w:rFonts w:asciiTheme="minorEastAsia" w:hAnsiTheme="minorEastAsia" w:cs="Times New Roman" w:hint="eastAsia"/>
          <w:sz w:val="24"/>
          <w:szCs w:val="24"/>
        </w:rPr>
        <w:t>（山水东路9号）</w:t>
      </w:r>
      <w:r w:rsidRPr="00126198">
        <w:rPr>
          <w:rFonts w:asciiTheme="minorEastAsia" w:hAnsiTheme="minorEastAsia" w:cs="Times New Roman" w:hint="eastAsia"/>
          <w:sz w:val="24"/>
          <w:szCs w:val="24"/>
        </w:rPr>
        <w:t>报到，同时参加学</w:t>
      </w:r>
      <w:r w:rsidR="00D71B85">
        <w:rPr>
          <w:rFonts w:asciiTheme="minorEastAsia" w:hAnsiTheme="minorEastAsia" w:cs="Times New Roman" w:hint="eastAsia"/>
          <w:sz w:val="24"/>
          <w:szCs w:val="24"/>
        </w:rPr>
        <w:t>院2</w:t>
      </w:r>
      <w:r w:rsidR="0086263D">
        <w:rPr>
          <w:rFonts w:asciiTheme="minorEastAsia" w:hAnsiTheme="minorEastAsia" w:cs="Times New Roman" w:hint="eastAsia"/>
          <w:sz w:val="24"/>
          <w:szCs w:val="24"/>
        </w:rPr>
        <w:t>5</w:t>
      </w:r>
      <w:r w:rsidRPr="00126198">
        <w:rPr>
          <w:rFonts w:asciiTheme="minorEastAsia" w:hAnsiTheme="minorEastAsia" w:cs="Times New Roman" w:hint="eastAsia"/>
          <w:sz w:val="24"/>
          <w:szCs w:val="24"/>
        </w:rPr>
        <w:t>日的体检</w:t>
      </w:r>
      <w:r w:rsidR="00E60ACF">
        <w:rPr>
          <w:rFonts w:asciiTheme="minorEastAsia" w:hAnsiTheme="minorEastAsia" w:cs="Times New Roman" w:hint="eastAsia"/>
          <w:sz w:val="24"/>
          <w:szCs w:val="24"/>
        </w:rPr>
        <w:t>及其他考试</w:t>
      </w:r>
      <w:r w:rsidRPr="00126198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830C72" w:rsidRPr="00830C72" w:rsidRDefault="00830C72" w:rsidP="003826E0">
      <w:p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35700C" w:rsidRPr="00830C72" w:rsidRDefault="0035700C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六、举报电话及邮箱</w:t>
      </w:r>
    </w:p>
    <w:p w:rsidR="0035700C" w:rsidRDefault="00841E48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="0035700C" w:rsidRPr="00830C72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="0035700C" w:rsidRPr="00830C72">
        <w:rPr>
          <w:rFonts w:ascii="Times New Roman" w:eastAsia="宋体" w:hAnsi="Times New Roman" w:cs="Times New Roman" w:hint="eastAsia"/>
          <w:sz w:val="24"/>
          <w:szCs w:val="24"/>
        </w:rPr>
        <w:t>-8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 xml:space="preserve">5550702 </w:t>
      </w:r>
      <w:hyperlink r:id="rId8" w:history="1">
        <w:r w:rsidR="003432CF">
          <w:rPr>
            <w:rStyle w:val="a3"/>
            <w:rFonts w:ascii="Times New Roman" w:eastAsia="宋体" w:hAnsi="Times New Roman" w:cs="Times New Roman" w:hint="eastAsia"/>
            <w:sz w:val="24"/>
            <w:szCs w:val="24"/>
          </w:rPr>
          <w:t>deptp</w:t>
        </w:r>
        <w:r w:rsidR="003432CF" w:rsidRPr="00466F40">
          <w:rPr>
            <w:rStyle w:val="a3"/>
            <w:rFonts w:ascii="Times New Roman" w:eastAsia="宋体" w:hAnsi="Times New Roman" w:cs="Times New Roman" w:hint="eastAsia"/>
            <w:sz w:val="24"/>
            <w:szCs w:val="24"/>
          </w:rPr>
          <w:t>@ffrc.cn</w:t>
        </w:r>
      </w:hyperlink>
      <w:r w:rsidR="00830C72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:rsidR="00F54198" w:rsidRDefault="00F54198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35700C" w:rsidRPr="00830C72" w:rsidRDefault="0055441B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备</w:t>
      </w:r>
      <w:r w:rsidR="0035700C" w:rsidRPr="00830C72">
        <w:rPr>
          <w:rFonts w:ascii="Times New Roman" w:eastAsia="宋体" w:hAnsi="Times New Roman" w:cs="Times New Roman" w:hint="eastAsia"/>
          <w:sz w:val="24"/>
          <w:szCs w:val="24"/>
        </w:rPr>
        <w:t>注：所有接到复试通知的学生务必在</w:t>
      </w:r>
      <w:r w:rsidR="00093950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093950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86263D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35700C" w:rsidRPr="00830C72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841E48" w:rsidRPr="00830C72">
        <w:rPr>
          <w:rFonts w:ascii="Times New Roman" w:eastAsia="宋体" w:hAnsi="Times New Roman" w:cs="Times New Roman" w:hint="eastAsia"/>
          <w:sz w:val="24"/>
          <w:szCs w:val="24"/>
        </w:rPr>
        <w:t>16</w:t>
      </w:r>
      <w:r w:rsidR="00654F29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654F29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="00841E48" w:rsidRPr="00830C72">
        <w:rPr>
          <w:rFonts w:ascii="Times New Roman" w:eastAsia="宋体" w:hAnsi="Times New Roman" w:cs="Times New Roman" w:hint="eastAsia"/>
          <w:sz w:val="24"/>
          <w:szCs w:val="24"/>
        </w:rPr>
        <w:t>前到达学院，报到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及验证</w:t>
      </w:r>
      <w:r w:rsidR="00841E48" w:rsidRPr="00830C72">
        <w:rPr>
          <w:rFonts w:ascii="Times New Roman" w:eastAsia="宋体" w:hAnsi="Times New Roman" w:cs="Times New Roman" w:hint="eastAsia"/>
          <w:sz w:val="24"/>
          <w:szCs w:val="24"/>
        </w:rPr>
        <w:t>地点：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南京农业大学无锡渔业学院暨</w:t>
      </w:r>
      <w:r w:rsidR="00841E48" w:rsidRPr="00830C72">
        <w:rPr>
          <w:rFonts w:ascii="Times New Roman" w:eastAsia="宋体" w:hAnsi="Times New Roman" w:cs="Times New Roman" w:hint="eastAsia"/>
          <w:sz w:val="24"/>
          <w:szCs w:val="24"/>
        </w:rPr>
        <w:t>中国水产科学研究院淡水渔业研究中心人事</w:t>
      </w:r>
      <w:r w:rsidR="00D71B85">
        <w:rPr>
          <w:rFonts w:ascii="Times New Roman" w:eastAsia="宋体" w:hAnsi="Times New Roman" w:cs="Times New Roman" w:hint="eastAsia"/>
          <w:sz w:val="24"/>
          <w:szCs w:val="24"/>
        </w:rPr>
        <w:t>人才</w:t>
      </w:r>
      <w:r w:rsidR="00841E48" w:rsidRPr="00830C72">
        <w:rPr>
          <w:rFonts w:ascii="Times New Roman" w:eastAsia="宋体" w:hAnsi="Times New Roman" w:cs="Times New Roman" w:hint="eastAsia"/>
          <w:sz w:val="24"/>
          <w:szCs w:val="24"/>
        </w:rPr>
        <w:t>处（无锡市山水东路</w:t>
      </w:r>
      <w:r w:rsidR="00841E48" w:rsidRPr="00830C72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="00841E48" w:rsidRPr="00830C72">
        <w:rPr>
          <w:rFonts w:ascii="Times New Roman" w:eastAsia="宋体" w:hAnsi="Times New Roman" w:cs="Times New Roman" w:hint="eastAsia"/>
          <w:sz w:val="24"/>
          <w:szCs w:val="24"/>
        </w:rPr>
        <w:t>号）。乘车线路：无锡火车站或无锡中央车站（无锡火车站北广场对面）下车的同学请至无锡火车站南广场乘公交</w:t>
      </w:r>
      <w:r w:rsidR="00841E48" w:rsidRPr="00830C72">
        <w:rPr>
          <w:rFonts w:ascii="Times New Roman" w:eastAsia="宋体" w:hAnsi="Times New Roman" w:cs="Times New Roman" w:hint="eastAsia"/>
          <w:sz w:val="24"/>
          <w:szCs w:val="24"/>
        </w:rPr>
        <w:t>K82</w:t>
      </w:r>
      <w:r w:rsidR="00841E48" w:rsidRPr="00830C72">
        <w:rPr>
          <w:rFonts w:ascii="Times New Roman" w:eastAsia="宋体" w:hAnsi="Times New Roman" w:cs="Times New Roman" w:hint="eastAsia"/>
          <w:sz w:val="24"/>
          <w:szCs w:val="24"/>
        </w:rPr>
        <w:t>路至宝界村站下（过宝界桥），沿路边往前走</w:t>
      </w:r>
      <w:r w:rsidR="00841E48" w:rsidRPr="00830C72">
        <w:rPr>
          <w:rFonts w:ascii="Times New Roman" w:eastAsia="宋体" w:hAnsi="Times New Roman" w:cs="Times New Roman" w:hint="eastAsia"/>
          <w:sz w:val="24"/>
          <w:szCs w:val="24"/>
        </w:rPr>
        <w:t>200</w:t>
      </w:r>
      <w:r w:rsidR="00841E48" w:rsidRPr="00830C72">
        <w:rPr>
          <w:rFonts w:ascii="Times New Roman" w:eastAsia="宋体" w:hAnsi="Times New Roman" w:cs="Times New Roman" w:hint="eastAsia"/>
          <w:sz w:val="24"/>
          <w:szCs w:val="24"/>
        </w:rPr>
        <w:t>米路右。</w:t>
      </w:r>
    </w:p>
    <w:p w:rsidR="0055441B" w:rsidRPr="00830C72" w:rsidRDefault="0055441B" w:rsidP="003826E0">
      <w:p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35700C" w:rsidRPr="00830C72" w:rsidRDefault="0035700C" w:rsidP="003826E0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友情提醒：请各位来校复试的学生在途中、住宿期间</w:t>
      </w:r>
      <w:r w:rsidR="00841E48" w:rsidRPr="00830C72">
        <w:rPr>
          <w:rFonts w:ascii="Times New Roman" w:eastAsia="宋体" w:hAnsi="Times New Roman" w:cs="Times New Roman" w:hint="eastAsia"/>
          <w:sz w:val="24"/>
          <w:szCs w:val="24"/>
        </w:rPr>
        <w:t>务请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注意安全。</w:t>
      </w:r>
    </w:p>
    <w:p w:rsidR="00093950" w:rsidRDefault="00093950" w:rsidP="00093950">
      <w:pPr>
        <w:jc w:val="right"/>
        <w:rPr>
          <w:rFonts w:ascii="Times New Roman" w:eastAsia="宋体" w:hAnsi="Times New Roman" w:cs="Times New Roman"/>
          <w:sz w:val="24"/>
          <w:szCs w:val="24"/>
        </w:rPr>
      </w:pPr>
    </w:p>
    <w:p w:rsidR="00093950" w:rsidRDefault="00093950" w:rsidP="00093950">
      <w:pPr>
        <w:jc w:val="right"/>
        <w:rPr>
          <w:rFonts w:ascii="Times New Roman" w:eastAsia="宋体" w:hAnsi="Times New Roman" w:cs="Times New Roman"/>
          <w:sz w:val="24"/>
          <w:szCs w:val="24"/>
        </w:rPr>
      </w:pPr>
    </w:p>
    <w:p w:rsidR="0035700C" w:rsidRPr="00830C72" w:rsidRDefault="0035700C" w:rsidP="00093950">
      <w:pPr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南京农业大学</w:t>
      </w:r>
      <w:r w:rsidR="00841E48" w:rsidRPr="00830C72">
        <w:rPr>
          <w:rFonts w:ascii="Times New Roman" w:eastAsia="宋体" w:hAnsi="Times New Roman" w:cs="Times New Roman" w:hint="eastAsia"/>
          <w:sz w:val="24"/>
          <w:szCs w:val="24"/>
        </w:rPr>
        <w:t>无锡渔业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学院</w:t>
      </w:r>
    </w:p>
    <w:p w:rsidR="00CE658E" w:rsidRPr="00830C72" w:rsidRDefault="0035700C" w:rsidP="00093950">
      <w:pPr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830C72"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86263D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D71B8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830C72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sectPr w:rsidR="00CE658E" w:rsidRPr="00830C72" w:rsidSect="00F01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99" w:rsidRDefault="00975799" w:rsidP="00495EB3">
      <w:r>
        <w:separator/>
      </w:r>
    </w:p>
  </w:endnote>
  <w:endnote w:type="continuationSeparator" w:id="1">
    <w:p w:rsidR="00975799" w:rsidRDefault="00975799" w:rsidP="0049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99" w:rsidRDefault="00975799" w:rsidP="00495EB3">
      <w:r>
        <w:separator/>
      </w:r>
    </w:p>
  </w:footnote>
  <w:footnote w:type="continuationSeparator" w:id="1">
    <w:p w:rsidR="00975799" w:rsidRDefault="00975799" w:rsidP="00495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0659"/>
    <w:multiLevelType w:val="multilevel"/>
    <w:tmpl w:val="5FB90659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00C"/>
    <w:rsid w:val="00006162"/>
    <w:rsid w:val="0002757C"/>
    <w:rsid w:val="00043CDF"/>
    <w:rsid w:val="000525A9"/>
    <w:rsid w:val="0007108C"/>
    <w:rsid w:val="00093950"/>
    <w:rsid w:val="000F58B9"/>
    <w:rsid w:val="001130DC"/>
    <w:rsid w:val="00126198"/>
    <w:rsid w:val="0016060B"/>
    <w:rsid w:val="0018250A"/>
    <w:rsid w:val="00240140"/>
    <w:rsid w:val="00292195"/>
    <w:rsid w:val="002B43BA"/>
    <w:rsid w:val="002C7E6F"/>
    <w:rsid w:val="003432CF"/>
    <w:rsid w:val="0035700C"/>
    <w:rsid w:val="003826E0"/>
    <w:rsid w:val="003830DD"/>
    <w:rsid w:val="003A1EB4"/>
    <w:rsid w:val="00417893"/>
    <w:rsid w:val="00482563"/>
    <w:rsid w:val="00495EB3"/>
    <w:rsid w:val="004F27B2"/>
    <w:rsid w:val="004F4FFB"/>
    <w:rsid w:val="005211E7"/>
    <w:rsid w:val="00537F73"/>
    <w:rsid w:val="00546AE2"/>
    <w:rsid w:val="0055441B"/>
    <w:rsid w:val="00593391"/>
    <w:rsid w:val="005C6B0C"/>
    <w:rsid w:val="005F3007"/>
    <w:rsid w:val="005F59EF"/>
    <w:rsid w:val="006150DE"/>
    <w:rsid w:val="006336D1"/>
    <w:rsid w:val="00654F29"/>
    <w:rsid w:val="00676D6B"/>
    <w:rsid w:val="006F1356"/>
    <w:rsid w:val="006F441E"/>
    <w:rsid w:val="007B1725"/>
    <w:rsid w:val="007D1A08"/>
    <w:rsid w:val="007E074F"/>
    <w:rsid w:val="007F15D7"/>
    <w:rsid w:val="00830C72"/>
    <w:rsid w:val="00841E48"/>
    <w:rsid w:val="00860984"/>
    <w:rsid w:val="0086263D"/>
    <w:rsid w:val="00862ABA"/>
    <w:rsid w:val="00883AFE"/>
    <w:rsid w:val="0089256D"/>
    <w:rsid w:val="008C3C26"/>
    <w:rsid w:val="00917C04"/>
    <w:rsid w:val="0092483D"/>
    <w:rsid w:val="00933BC7"/>
    <w:rsid w:val="009657D5"/>
    <w:rsid w:val="00975799"/>
    <w:rsid w:val="009B0116"/>
    <w:rsid w:val="009C62EC"/>
    <w:rsid w:val="00A322B5"/>
    <w:rsid w:val="00AC1AEB"/>
    <w:rsid w:val="00AE0320"/>
    <w:rsid w:val="00AE748C"/>
    <w:rsid w:val="00B3553F"/>
    <w:rsid w:val="00B96D14"/>
    <w:rsid w:val="00BF2305"/>
    <w:rsid w:val="00BF5483"/>
    <w:rsid w:val="00BF5B5F"/>
    <w:rsid w:val="00C82426"/>
    <w:rsid w:val="00C97108"/>
    <w:rsid w:val="00CA5F40"/>
    <w:rsid w:val="00CE658E"/>
    <w:rsid w:val="00D110A9"/>
    <w:rsid w:val="00D17348"/>
    <w:rsid w:val="00D17A6A"/>
    <w:rsid w:val="00D22FDC"/>
    <w:rsid w:val="00D64BE8"/>
    <w:rsid w:val="00D71B85"/>
    <w:rsid w:val="00DA198A"/>
    <w:rsid w:val="00E60ACF"/>
    <w:rsid w:val="00E81C83"/>
    <w:rsid w:val="00EF667E"/>
    <w:rsid w:val="00F01AE8"/>
    <w:rsid w:val="00F01D41"/>
    <w:rsid w:val="00F43A65"/>
    <w:rsid w:val="00F54198"/>
    <w:rsid w:val="00FC17B2"/>
    <w:rsid w:val="00FC493E"/>
    <w:rsid w:val="00FD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C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4FFB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495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95E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95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95EB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A5F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5F4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C1A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C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4FFB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495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95E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95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95EB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A5F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5F4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C1A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2458">
                  <w:marLeft w:val="0"/>
                  <w:marRight w:val="0"/>
                  <w:marTop w:val="375"/>
                  <w:marBottom w:val="0"/>
                  <w:divBdr>
                    <w:top w:val="single" w:sz="2" w:space="0" w:color="00FF55"/>
                    <w:left w:val="single" w:sz="2" w:space="11" w:color="00FF55"/>
                    <w:bottom w:val="single" w:sz="2" w:space="0" w:color="00FF55"/>
                    <w:right w:val="single" w:sz="2" w:space="11" w:color="00FF55"/>
                  </w:divBdr>
                  <w:divsChild>
                    <w:div w:id="6515183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888F8C"/>
                            <w:left w:val="single" w:sz="6" w:space="8" w:color="888F8C"/>
                            <w:bottom w:val="single" w:sz="6" w:space="8" w:color="888F8C"/>
                            <w:right w:val="single" w:sz="6" w:space="8" w:color="888F8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ggz@ffrc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asch.njau.edu.cn/attach/download/2015/03/20/4733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25</cp:revision>
  <dcterms:created xsi:type="dcterms:W3CDTF">2015-03-23T08:50:00Z</dcterms:created>
  <dcterms:modified xsi:type="dcterms:W3CDTF">2017-03-22T07:42:00Z</dcterms:modified>
</cp:coreProperties>
</file>