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napToGrid w:val="0"/>
        <w:spacing w:line="300" w:lineRule="auto"/>
        <w:jc w:val="center"/>
        <w:rPr>
          <w:rFonts w:hint="eastAsia" w:ascii="宋体" w:hAnsi="宋体" w:cs="宋体"/>
          <w:b/>
          <w:bCs/>
          <w:szCs w:val="21"/>
        </w:rPr>
      </w:pPr>
      <w:r>
        <w:rPr>
          <w:rFonts w:hint="eastAsia" w:ascii="宋体" w:hAnsi="宋体" w:cs="宋体"/>
          <w:b/>
          <w:bCs/>
          <w:sz w:val="32"/>
          <w:szCs w:val="32"/>
          <w:lang w:eastAsia="zh-CN"/>
        </w:rPr>
        <w:t>《</w:t>
      </w:r>
      <w:r>
        <w:rPr>
          <w:rFonts w:hint="eastAsia" w:ascii="宋体" w:hAnsi="宋体" w:cs="宋体"/>
          <w:b/>
          <w:bCs/>
          <w:sz w:val="32"/>
          <w:szCs w:val="32"/>
        </w:rPr>
        <w:t>园艺学总论</w:t>
      </w:r>
      <w:r>
        <w:rPr>
          <w:rFonts w:hint="eastAsia" w:ascii="宋体" w:hAnsi="宋体" w:cs="宋体"/>
          <w:b/>
          <w:bCs/>
          <w:sz w:val="32"/>
          <w:szCs w:val="32"/>
          <w:lang w:eastAsia="zh-CN"/>
        </w:rPr>
        <w:t>》考试大纲</w:t>
      </w:r>
      <w:bookmarkStart w:id="0" w:name="_GoBack"/>
      <w:bookmarkEnd w:id="0"/>
    </w:p>
    <w:p>
      <w:pPr>
        <w:pStyle w:val="14"/>
        <w:snapToGrid w:val="0"/>
        <w:spacing w:line="300" w:lineRule="auto"/>
        <w:rPr>
          <w:rFonts w:hint="eastAsia" w:ascii="方正书宋简体" w:hAnsi="新宋体" w:eastAsia="方正书宋简体"/>
          <w:szCs w:val="21"/>
        </w:rPr>
      </w:pPr>
    </w:p>
    <w:p>
      <w:pPr>
        <w:pStyle w:val="14"/>
        <w:snapToGrid w:val="0"/>
        <w:spacing w:line="300" w:lineRule="auto"/>
        <w:ind w:firstLine="422"/>
        <w:rPr>
          <w:rFonts w:hint="eastAsia" w:ascii="方正书宋简体" w:eastAsia="方正书宋简体"/>
          <w:b/>
          <w:szCs w:val="21"/>
        </w:rPr>
      </w:pPr>
      <w:r>
        <w:rPr>
          <w:rFonts w:hint="eastAsia" w:ascii="方正书宋简体" w:eastAsia="方正书宋简体"/>
          <w:b/>
          <w:szCs w:val="21"/>
        </w:rPr>
        <w:t>一、考查目标</w:t>
      </w:r>
    </w:p>
    <w:p>
      <w:pPr>
        <w:widowControl/>
        <w:snapToGrid w:val="0"/>
        <w:spacing w:line="300" w:lineRule="auto"/>
        <w:ind w:firstLine="420" w:firstLineChars="200"/>
        <w:rPr>
          <w:rFonts w:hint="eastAsia" w:ascii="方正书宋简体" w:eastAsia="方正书宋简体"/>
          <w:szCs w:val="21"/>
        </w:rPr>
      </w:pPr>
      <w:r>
        <w:rPr>
          <w:rFonts w:hint="eastAsia" w:ascii="方正书宋简体" w:eastAsia="方正书宋简体"/>
          <w:szCs w:val="21"/>
        </w:rPr>
        <w:t>1、系统掌握园艺植物栽培学总论和园艺植物育种学总论所包含的基本知识、理论和技能；明确园艺植物栽培和育种的基本概念、基本原理，了解园艺植物栽培和育种学的最新进展及发展趋势。</w:t>
      </w:r>
    </w:p>
    <w:p>
      <w:pPr>
        <w:widowControl/>
        <w:snapToGrid w:val="0"/>
        <w:spacing w:line="300" w:lineRule="auto"/>
        <w:ind w:firstLine="420" w:firstLineChars="200"/>
        <w:rPr>
          <w:rFonts w:hint="eastAsia" w:ascii="方正书宋简体" w:eastAsia="方正书宋简体"/>
          <w:szCs w:val="21"/>
        </w:rPr>
      </w:pPr>
      <w:r>
        <w:rPr>
          <w:rFonts w:hint="eastAsia" w:ascii="方正书宋简体" w:eastAsia="方正书宋简体"/>
          <w:szCs w:val="21"/>
        </w:rPr>
        <w:t>2、能够运用相关理论和方法分析、解决</w:t>
      </w:r>
      <w:r>
        <w:rPr>
          <w:rFonts w:hint="eastAsia"/>
        </w:rPr>
        <w:t>园艺植物</w:t>
      </w:r>
      <w:r>
        <w:rPr>
          <w:rFonts w:hint="eastAsia" w:ascii="方正书宋简体" w:eastAsia="方正书宋简体"/>
          <w:szCs w:val="21"/>
        </w:rPr>
        <w:t>生产的实际问题，并理根据社会和生产对园艺植物品种的要求，利用园艺植物遗传变异的规律，采用适宜的育种方法培育新品种，以满足市场对园艺植物品种的需要。</w:t>
      </w:r>
    </w:p>
    <w:p>
      <w:pPr>
        <w:pStyle w:val="14"/>
        <w:snapToGrid w:val="0"/>
        <w:spacing w:line="300" w:lineRule="auto"/>
        <w:ind w:firstLine="422"/>
        <w:rPr>
          <w:rFonts w:hint="eastAsia" w:ascii="方正书宋简体" w:hAnsi="新宋体" w:eastAsia="方正书宋简体"/>
          <w:b/>
          <w:szCs w:val="21"/>
        </w:rPr>
      </w:pPr>
      <w:r>
        <w:rPr>
          <w:rFonts w:hint="eastAsia" w:ascii="方正书宋简体" w:eastAsia="方正书宋简体"/>
          <w:b/>
          <w:szCs w:val="21"/>
        </w:rPr>
        <w:t>二、考试形式与试卷结构</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（一）试卷成绩及考试时间</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本试卷满分为100分，考试时间为120分钟。</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（二）答题方式</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答题方式为闭卷、笔试。</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（三）试卷内容结构</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参照园艺专业本科《园艺植物栽培学总论》和《园艺植物育种学总论》教学大纲的教学内容，各部分内容所占分值为：</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园艺植物栽培学    约50分</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园艺植物育种学    约50分</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（四）试卷题型结构</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名词解释题：6小题，每小题5分，共30分</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简答题：8小题，每小题5分，共40分</w:t>
      </w:r>
    </w:p>
    <w:p>
      <w:pPr>
        <w:pStyle w:val="14"/>
        <w:snapToGrid w:val="0"/>
        <w:spacing w:line="300" w:lineRule="auto"/>
        <w:rPr>
          <w:rFonts w:hint="eastAsia" w:ascii="方正书宋简体" w:eastAsia="方正书宋简体"/>
          <w:szCs w:val="21"/>
        </w:rPr>
      </w:pPr>
      <w:r>
        <w:rPr>
          <w:rFonts w:hint="eastAsia" w:ascii="方正书宋简体" w:hAnsi="Calibri" w:eastAsia="方正书宋简体"/>
          <w:szCs w:val="21"/>
        </w:rPr>
        <w:t>论述题：4个题目任选2个，共30分。</w:t>
      </w:r>
    </w:p>
    <w:p>
      <w:pPr>
        <w:pStyle w:val="14"/>
        <w:snapToGrid w:val="0"/>
        <w:spacing w:line="300" w:lineRule="auto"/>
        <w:ind w:firstLine="422"/>
        <w:rPr>
          <w:rFonts w:hint="eastAsia" w:ascii="方正书宋简体" w:eastAsia="方正书宋简体"/>
          <w:b/>
          <w:szCs w:val="21"/>
        </w:rPr>
      </w:pPr>
      <w:r>
        <w:rPr>
          <w:rFonts w:hint="eastAsia" w:ascii="方正书宋简体" w:eastAsia="方正书宋简体"/>
          <w:b/>
          <w:szCs w:val="21"/>
        </w:rPr>
        <w:t>三、考查范围</w:t>
      </w:r>
    </w:p>
    <w:p>
      <w:pPr>
        <w:pStyle w:val="14"/>
        <w:snapToGrid w:val="0"/>
        <w:spacing w:line="300" w:lineRule="auto"/>
        <w:ind w:firstLine="422"/>
        <w:rPr>
          <w:rFonts w:hint="eastAsia" w:ascii="方正书宋简体" w:eastAsia="方正书宋简体"/>
          <w:b/>
          <w:szCs w:val="21"/>
        </w:rPr>
      </w:pPr>
      <w:r>
        <w:rPr>
          <w:rFonts w:hint="eastAsia" w:ascii="方正书宋简体" w:eastAsia="方正书宋简体"/>
          <w:b/>
          <w:szCs w:val="21"/>
        </w:rPr>
        <w:t>（一）《园艺植物栽培学总论》部分</w:t>
      </w:r>
    </w:p>
    <w:p>
      <w:pPr>
        <w:pStyle w:val="14"/>
        <w:snapToGrid w:val="0"/>
        <w:spacing w:line="300" w:lineRule="auto"/>
        <w:rPr>
          <w:rFonts w:hint="eastAsia" w:ascii="方正书宋简体" w:eastAsia="方正书宋简体"/>
          <w:b/>
          <w:szCs w:val="21"/>
        </w:rPr>
      </w:pPr>
      <w:r>
        <w:rPr>
          <w:rFonts w:hint="eastAsia"/>
        </w:rPr>
        <w:t>园艺植物栽培学</w:t>
      </w:r>
    </w:p>
    <w:p>
      <w:pPr>
        <w:snapToGrid w:val="0"/>
        <w:spacing w:line="300" w:lineRule="auto"/>
        <w:ind w:firstLine="420" w:firstLineChars="200"/>
        <w:rPr>
          <w:rFonts w:hint="eastAsia" w:ascii="方正书宋简体" w:hAnsi="新宋体" w:eastAsia="方正书宋简体"/>
          <w:szCs w:val="21"/>
        </w:rPr>
      </w:pPr>
      <w:r>
        <w:rPr>
          <w:rFonts w:hint="eastAsia" w:ascii="方正书宋简体" w:hAnsi="新宋体" w:eastAsia="方正书宋简体"/>
          <w:szCs w:val="21"/>
        </w:rPr>
        <w:t>一、考查目标</w:t>
      </w:r>
    </w:p>
    <w:p>
      <w:pPr>
        <w:pStyle w:val="14"/>
        <w:snapToGrid w:val="0"/>
        <w:spacing w:line="300" w:lineRule="auto"/>
        <w:rPr>
          <w:rFonts w:hint="eastAsia" w:ascii="方正书宋简体" w:eastAsia="方正书宋简体"/>
          <w:b/>
          <w:szCs w:val="21"/>
        </w:rPr>
      </w:pPr>
      <w:r>
        <w:rPr>
          <w:rFonts w:hint="eastAsia" w:ascii="方正书宋简体" w:hAnsi="Calibri" w:eastAsia="方正书宋简体"/>
          <w:szCs w:val="21"/>
        </w:rPr>
        <w:t>1、系统掌握</w:t>
      </w:r>
      <w:r>
        <w:rPr>
          <w:rFonts w:hint="eastAsia"/>
        </w:rPr>
        <w:t>园艺植物栽培学</w:t>
      </w:r>
      <w:r>
        <w:rPr>
          <w:rFonts w:hint="eastAsia" w:ascii="方正书宋简体" w:hAnsi="Calibri" w:eastAsia="方正书宋简体"/>
          <w:szCs w:val="21"/>
        </w:rPr>
        <w:t>所包含的基本知识、理论和技能；</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2、能够并用这些知识和原理解释栽培中的问题，同时也要能够用这些知识和原理制定出栽培管理技术措施，解决生产中的问题。</w:t>
      </w:r>
    </w:p>
    <w:p>
      <w:pPr>
        <w:spacing w:line="300" w:lineRule="auto"/>
        <w:ind w:firstLine="420" w:firstLineChars="200"/>
        <w:rPr>
          <w:rFonts w:hint="eastAsia" w:ascii="方正书宋简体" w:hAnsi="新宋体" w:eastAsia="方正书宋简体"/>
          <w:sz w:val="22"/>
          <w:szCs w:val="21"/>
        </w:rPr>
      </w:pPr>
      <w:r>
        <w:rPr>
          <w:rFonts w:hint="eastAsia" w:ascii="方正书宋简体" w:hAnsi="新宋体" w:eastAsia="方正书宋简体"/>
          <w:szCs w:val="21"/>
        </w:rPr>
        <w:t>二、考查内容</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第一章 园艺植物的分类</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重点：了解及掌握</w:t>
      </w:r>
      <w:r>
        <w:rPr>
          <w:rFonts w:ascii="方正书宋简体" w:hAnsi="Calibri" w:eastAsia="方正书宋简体"/>
          <w:szCs w:val="21"/>
        </w:rPr>
        <w:t>园艺植物的植物学分类、农业生物学分类等分类方法</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 xml:space="preserve">第二章    园艺植物的生物学特性 </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重点：了解及掌握根、茎、叶的功能与形态 、根、茎、叶的变态 ；根瘤和菌根、芽生长发育的特点；叶面积指数和叶幂的形成及其与园艺植物生产的关系。</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了解花的组成部分及其形态结构、花芽分化和花芽分化的机制、花芽分化的类型、不同器官的相互作用与花芽分化、影响花芽分化的环境因素、控制花芽分化的农业措施。 重点掌握花芽分化及花芽分化的调控、园艺植物的结果习性、提高园艺植物座果率的保证措施。</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第三章  园艺植物的繁殖</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种子生活力鉴定的方法；实生育苗种子播前处理技术；营养器官育苗的优点及种类；扦插的种类及方法、影响插条生根的内在及因素、外界因素；促进扦插生根的方法。嫁接育苗砧木的应用、影响嫁接成活的因子、砧木和接穗的选择及接穗的贮藏、嫁接时期、嫁接的方法、嫁接苗的管理。</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 xml:space="preserve">第四章    园地建立 </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 xml:space="preserve">   重点：果树的园地建立及果树树种和品种规划的依据和方法。果树授粉品种的选择和果树授粉树的配置的方法。</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第五章    园艺植物栽培技术</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了解土壤改良的方法。土壤管理制度清耕法、免耕法、覆盖法、生草法和休闲轮作法及各自的优缺点和土壤管理制度的基本方法。园艺植物施肥技术、园艺植物灌溉技术。间作、混作、套作的基本概念及原则。</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 xml:space="preserve">第六章   园艺植物的植株管理 </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重点：掌握蔬菜植株调整方法的具体内容和操作技术。果树修剪和生物学基础；果树修剪的目的、原则和方法。</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 xml:space="preserve"> 第七章    园艺植物产品器官管理   </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重点：提高座果率和疏花疏果的具体措施。改善果实品质的技术措施。肉质根的异常发育、茎类产品的形成与调控、叶类产品的形成与调控</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第八章 园艺产品采收和采后管理</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重点：果实采后处理的方法、果实包装与运输</w:t>
      </w:r>
    </w:p>
    <w:p>
      <w:pPr>
        <w:pStyle w:val="14"/>
        <w:snapToGrid w:val="0"/>
        <w:spacing w:line="300" w:lineRule="auto"/>
        <w:ind w:firstLine="422"/>
        <w:rPr>
          <w:rFonts w:hint="eastAsia" w:ascii="方正书宋简体" w:eastAsia="方正书宋简体"/>
          <w:b/>
          <w:szCs w:val="21"/>
        </w:rPr>
      </w:pPr>
      <w:r>
        <w:rPr>
          <w:rFonts w:hint="eastAsia" w:ascii="方正书宋简体" w:eastAsia="方正书宋简体"/>
          <w:b/>
          <w:szCs w:val="21"/>
        </w:rPr>
        <w:t>（二）《园艺植物育种学总论》部分</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绪论</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重点为园艺植物育种学的任务和内容，品种的概念。掌握包括园艺植物的进化史，良种的作用，园艺植物育种的发展趋势等内容。</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第一章育种对象和目标</w:t>
      </w:r>
      <w:r>
        <w:rPr>
          <w:rFonts w:hint="eastAsia" w:ascii="方正书宋简体" w:hAnsi="Calibri" w:eastAsia="方正书宋简体"/>
          <w:szCs w:val="21"/>
        </w:rPr>
        <w:tab/>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重点为制定育种目标的主要根据和原则。掌握园艺植物育种对象的特点，园艺植物育种的主要目标性状等内容。</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第二章园艺植物的繁殖习性品种类别和育种特点</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重点为园艺植物的遗传育种特点。掌握园艺植物繁殖方式、授粉习性，品种的类别，各类品种的遗传组成及特点。</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第三章种质资源</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重点为作物起源中心与起源于中国的园艺植物种质资源，种质资源保存的方式方法。掌握园艺植物种质资源工作的意义，种质资源的考察征集，种质资源的评价，种质资源的创新和利用等内容。</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第四章引种</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重点为引种的概念及引种的原理。掌握园艺植物引种的意义，引种的方法。</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第五章选择育种</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重点为选择与选择育种概念，园艺植物选择育种的程序。掌握园艺植物有性繁殖植物的选择育种，无性繁殖植物的选择育种</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第六章常规杂交育种</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重点为杂交的概念和意义，杂交亲本的选择和选配的原则。掌握园艺植物常规杂交育种的杂交方式，具体的杂交技术，杂种后代的培育和选择等内容。</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第七章优势杂交育种</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 xml:space="preserve">重点为杂种优势的概念，雄性不育系的选育和利用自交不亲和系的选育提高优势杂交育种的方法。掌握园艺植物杂种优势的应用，选育杂交种品种的一般程序，杂交种子生产程序及方法。 </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第八章营养系杂交育种</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重点为营养系品种的性状遗传特点，童期,童性等概念，以及缩短童期提高育种效率的技术。掌握园艺植物营养系品种遗传变异的研究方法，亲本选配及杂交技术的特点，杂种培育，选择特点。</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第九章远缘杂交及其在园艺植物育种中的应用</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重点为远缘杂交的意义和特点，远缘杂交的障碍和克服途径。掌握园艺植物远缘杂种的分离和选择方法，及远缘杂交在园艺植物育种中的应用。</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第十章倍性育种</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重点为多倍体、单倍体的概念、来源，多倍体的获得途径。掌握园艺植物多倍体的意义，多倍体选择鉴定与利用，单倍体及其在育种中的应用</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第十一章诱变育种</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重点为诱变育种的特点，诱变育种的遗传原理。</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掌握诱变育种的类别，辐射诱变，化学诱变，理化诱变的特异性和复合处理，诱变材料的培育和选择等内容。</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第十二章生物技术在园艺植物育种中的应用</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重点为园艺植物组织及器官培养、基因工程的一般原理、应用范围和取得的成就。掌握园艺植物细胞工程、分子标记及其它生物技术在园艺植物育种中的应用。</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第十三章新品种的审定与推广繁育</w:t>
      </w:r>
    </w:p>
    <w:p>
      <w:pPr>
        <w:pStyle w:val="14"/>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重点为园艺植物品种退化的原因及防治方法，良种繁育的具体措施。掌握园艺植物品质审定，植物新品种保护，品种推广等相应的法律法规及程序。</w:t>
      </w:r>
    </w:p>
    <w:p>
      <w:pPr>
        <w:widowControl/>
        <w:snapToGrid w:val="0"/>
        <w:spacing w:line="300" w:lineRule="auto"/>
        <w:outlineLvl w:val="1"/>
        <w:rPr>
          <w:rFonts w:hint="eastAsia" w:ascii="方正书宋简体" w:hAnsi="新宋体" w:eastAsia="方正书宋简体"/>
          <w:b/>
          <w:szCs w:val="21"/>
        </w:rPr>
      </w:pPr>
      <w:r>
        <w:rPr>
          <w:rFonts w:hint="eastAsia" w:ascii="方正书宋简体" w:hAnsi="新宋体" w:eastAsia="方正书宋简体"/>
          <w:b/>
          <w:szCs w:val="21"/>
        </w:rPr>
        <w:t>四、 教与学主要参考书</w:t>
      </w:r>
    </w:p>
    <w:p>
      <w:pPr>
        <w:snapToGrid w:val="0"/>
        <w:spacing w:line="300" w:lineRule="auto"/>
        <w:ind w:firstLine="420" w:firstLineChars="200"/>
        <w:rPr>
          <w:rFonts w:hint="eastAsia" w:ascii="方正书宋简体" w:eastAsia="方正书宋简体"/>
          <w:color w:val="000000"/>
          <w:szCs w:val="21"/>
        </w:rPr>
      </w:pPr>
      <w:r>
        <w:rPr>
          <w:rFonts w:hint="eastAsia" w:ascii="方正书宋简体" w:eastAsia="方正书宋简体"/>
          <w:color w:val="000000"/>
          <w:szCs w:val="21"/>
        </w:rPr>
        <w:t>1.景士西，《园艺植物育种学总论》.北京：中国农业出版社，2000</w:t>
      </w:r>
    </w:p>
    <w:p>
      <w:pPr>
        <w:snapToGrid w:val="0"/>
        <w:spacing w:line="300" w:lineRule="auto"/>
        <w:ind w:firstLine="420" w:firstLineChars="200"/>
        <w:rPr>
          <w:rFonts w:hint="eastAsia" w:ascii="方正书宋简体" w:eastAsia="方正书宋简体"/>
          <w:color w:val="000000"/>
          <w:szCs w:val="21"/>
        </w:rPr>
      </w:pPr>
      <w:r>
        <w:rPr>
          <w:rFonts w:hint="eastAsia" w:ascii="方正书宋简体" w:eastAsia="方正书宋简体"/>
          <w:color w:val="000000"/>
          <w:szCs w:val="21"/>
        </w:rPr>
        <w:t>2.胡延吉，陈学森，高荣岐，杨建平等，《植物育种学》.北京：高等教育出版社，2003</w:t>
      </w:r>
    </w:p>
    <w:p>
      <w:pPr>
        <w:snapToGrid w:val="0"/>
        <w:spacing w:line="300" w:lineRule="auto"/>
        <w:ind w:firstLine="420" w:firstLineChars="200"/>
        <w:rPr>
          <w:rFonts w:hint="eastAsia" w:ascii="方正书宋简体" w:eastAsia="方正书宋简体"/>
          <w:color w:val="000000"/>
          <w:szCs w:val="21"/>
        </w:rPr>
      </w:pPr>
      <w:r>
        <w:rPr>
          <w:rFonts w:hint="eastAsia" w:ascii="方正书宋简体" w:eastAsia="方正书宋简体"/>
          <w:color w:val="000000"/>
          <w:szCs w:val="21"/>
        </w:rPr>
        <w:t>3.陈学森主编，《植物育种实验》.北京：高等教育出版社，200４</w:t>
      </w:r>
    </w:p>
    <w:p>
      <w:pPr>
        <w:snapToGrid w:val="0"/>
        <w:spacing w:line="300" w:lineRule="auto"/>
        <w:ind w:firstLine="420" w:firstLineChars="200"/>
        <w:rPr>
          <w:rFonts w:hint="eastAsia" w:ascii="方正书宋简体" w:hAnsi="宋体" w:eastAsia="方正书宋简体" w:cs="Arial"/>
          <w:color w:val="000000"/>
          <w:kern w:val="0"/>
          <w:szCs w:val="21"/>
        </w:rPr>
      </w:pPr>
      <w:r>
        <w:rPr>
          <w:rFonts w:hint="eastAsia" w:ascii="方正书宋简体" w:eastAsia="方正书宋简体"/>
          <w:color w:val="000000"/>
          <w:szCs w:val="21"/>
        </w:rPr>
        <w:t>4.</w:t>
      </w:r>
      <w:r>
        <w:rPr>
          <w:rFonts w:hint="eastAsia" w:ascii="方正书宋简体" w:hAnsi="宋体" w:eastAsia="方正书宋简体" w:cs="Arial"/>
          <w:color w:val="000000"/>
          <w:kern w:val="0"/>
          <w:szCs w:val="21"/>
        </w:rPr>
        <w:t>曹家树、申书兴，园艺植物育种学，第2版，中国农业大学出版社，2011</w:t>
      </w:r>
    </w:p>
    <w:p>
      <w:pPr>
        <w:snapToGrid w:val="0"/>
        <w:spacing w:line="300" w:lineRule="auto"/>
        <w:ind w:firstLine="420" w:firstLineChars="200"/>
        <w:rPr>
          <w:rFonts w:hint="eastAsia" w:ascii="方正书宋简体" w:eastAsia="方正书宋简体"/>
          <w:szCs w:val="21"/>
        </w:rPr>
      </w:pPr>
    </w:p>
    <w:p>
      <w:pPr>
        <w:pStyle w:val="14"/>
        <w:snapToGrid w:val="0"/>
        <w:spacing w:line="300" w:lineRule="auto"/>
        <w:rPr>
          <w:rFonts w:hint="eastAsia" w:ascii="方正书宋简体" w:hAnsi="Calibri" w:eastAsia="方正书宋简体"/>
          <w:szCs w:val="21"/>
        </w:rPr>
      </w:pPr>
    </w:p>
    <w:p>
      <w:pPr>
        <w:pStyle w:val="14"/>
        <w:snapToGrid w:val="0"/>
        <w:spacing w:line="300" w:lineRule="auto"/>
        <w:rPr>
          <w:rFonts w:hint="eastAsia" w:ascii="方正书宋简体" w:hAnsi="新宋体" w:eastAsia="方正书宋简体"/>
          <w:szCs w:val="21"/>
        </w:rPr>
      </w:pPr>
    </w:p>
    <w:sectPr>
      <w:head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方正书宋简体">
    <w:altName w:val="宋体"/>
    <w:panose1 w:val="00000000000000000000"/>
    <w:charset w:val="86"/>
    <w:family w:val="auto"/>
    <w:pitch w:val="default"/>
    <w:sig w:usb0="00000001" w:usb1="080E0000" w:usb2="00000010" w:usb3="00000000" w:csb0="00040000" w:csb1="00000000"/>
  </w:font>
  <w:font w:name="新宋体">
    <w:panose1 w:val="02010609030101010101"/>
    <w:charset w:val="86"/>
    <w:family w:val="auto"/>
    <w:pitch w:val="default"/>
    <w:sig w:usb0="00000003" w:usb1="288F0000" w:usb2="0000000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43174"/>
    <w:rsid w:val="00000954"/>
    <w:rsid w:val="000524B1"/>
    <w:rsid w:val="0007436E"/>
    <w:rsid w:val="00084DA3"/>
    <w:rsid w:val="00117F33"/>
    <w:rsid w:val="001309ED"/>
    <w:rsid w:val="00170243"/>
    <w:rsid w:val="00174B28"/>
    <w:rsid w:val="00175086"/>
    <w:rsid w:val="00186534"/>
    <w:rsid w:val="00186A6F"/>
    <w:rsid w:val="001A1AC6"/>
    <w:rsid w:val="001D2116"/>
    <w:rsid w:val="00225F3E"/>
    <w:rsid w:val="00241751"/>
    <w:rsid w:val="0027762B"/>
    <w:rsid w:val="002A6B87"/>
    <w:rsid w:val="002B729B"/>
    <w:rsid w:val="002D02D1"/>
    <w:rsid w:val="002F7392"/>
    <w:rsid w:val="003231B1"/>
    <w:rsid w:val="00357E36"/>
    <w:rsid w:val="00364AB1"/>
    <w:rsid w:val="003968F9"/>
    <w:rsid w:val="003C765A"/>
    <w:rsid w:val="003D2263"/>
    <w:rsid w:val="003D6107"/>
    <w:rsid w:val="003E65BA"/>
    <w:rsid w:val="00400855"/>
    <w:rsid w:val="00413F3E"/>
    <w:rsid w:val="0042346F"/>
    <w:rsid w:val="00430C5C"/>
    <w:rsid w:val="004530DC"/>
    <w:rsid w:val="00482A77"/>
    <w:rsid w:val="004E1C26"/>
    <w:rsid w:val="004F119B"/>
    <w:rsid w:val="004F4118"/>
    <w:rsid w:val="00505E1D"/>
    <w:rsid w:val="00516F7B"/>
    <w:rsid w:val="00533953"/>
    <w:rsid w:val="005463C3"/>
    <w:rsid w:val="00561679"/>
    <w:rsid w:val="00587F9E"/>
    <w:rsid w:val="005D54EC"/>
    <w:rsid w:val="005D7418"/>
    <w:rsid w:val="00615445"/>
    <w:rsid w:val="00622FDD"/>
    <w:rsid w:val="00631BCA"/>
    <w:rsid w:val="00653589"/>
    <w:rsid w:val="00672921"/>
    <w:rsid w:val="006B7582"/>
    <w:rsid w:val="006E2E9C"/>
    <w:rsid w:val="006E6CA4"/>
    <w:rsid w:val="00704B1F"/>
    <w:rsid w:val="00737241"/>
    <w:rsid w:val="0073762A"/>
    <w:rsid w:val="0076360D"/>
    <w:rsid w:val="007740A9"/>
    <w:rsid w:val="00782070"/>
    <w:rsid w:val="007963C8"/>
    <w:rsid w:val="00800E54"/>
    <w:rsid w:val="00806BDE"/>
    <w:rsid w:val="00887956"/>
    <w:rsid w:val="00895C4B"/>
    <w:rsid w:val="008B6394"/>
    <w:rsid w:val="008D5FA8"/>
    <w:rsid w:val="008E49C4"/>
    <w:rsid w:val="00904A12"/>
    <w:rsid w:val="0091706D"/>
    <w:rsid w:val="00936382"/>
    <w:rsid w:val="00943174"/>
    <w:rsid w:val="00976D45"/>
    <w:rsid w:val="00983982"/>
    <w:rsid w:val="009915DA"/>
    <w:rsid w:val="00992CF6"/>
    <w:rsid w:val="009A5FEE"/>
    <w:rsid w:val="009A70B4"/>
    <w:rsid w:val="009F0993"/>
    <w:rsid w:val="00A00970"/>
    <w:rsid w:val="00A109BC"/>
    <w:rsid w:val="00A36ABD"/>
    <w:rsid w:val="00A4147D"/>
    <w:rsid w:val="00A626B9"/>
    <w:rsid w:val="00A72A4A"/>
    <w:rsid w:val="00A75220"/>
    <w:rsid w:val="00A8177E"/>
    <w:rsid w:val="00A90127"/>
    <w:rsid w:val="00AB1EFF"/>
    <w:rsid w:val="00AD2EDD"/>
    <w:rsid w:val="00AF6E89"/>
    <w:rsid w:val="00B0345E"/>
    <w:rsid w:val="00B22C86"/>
    <w:rsid w:val="00B40253"/>
    <w:rsid w:val="00B4059B"/>
    <w:rsid w:val="00B60845"/>
    <w:rsid w:val="00B61EC2"/>
    <w:rsid w:val="00B72388"/>
    <w:rsid w:val="00BC1371"/>
    <w:rsid w:val="00BF4039"/>
    <w:rsid w:val="00C00C75"/>
    <w:rsid w:val="00C35389"/>
    <w:rsid w:val="00C6115A"/>
    <w:rsid w:val="00C90554"/>
    <w:rsid w:val="00CA6E8F"/>
    <w:rsid w:val="00CB1A24"/>
    <w:rsid w:val="00CD6E91"/>
    <w:rsid w:val="00CE112F"/>
    <w:rsid w:val="00CF127F"/>
    <w:rsid w:val="00D16967"/>
    <w:rsid w:val="00D34A3C"/>
    <w:rsid w:val="00D43699"/>
    <w:rsid w:val="00D53A3E"/>
    <w:rsid w:val="00D548DB"/>
    <w:rsid w:val="00D85952"/>
    <w:rsid w:val="00DC1F18"/>
    <w:rsid w:val="00DE0B43"/>
    <w:rsid w:val="00E06807"/>
    <w:rsid w:val="00E26858"/>
    <w:rsid w:val="00E51034"/>
    <w:rsid w:val="00E56779"/>
    <w:rsid w:val="00E73982"/>
    <w:rsid w:val="00E926B1"/>
    <w:rsid w:val="00F11528"/>
    <w:rsid w:val="00F404BF"/>
    <w:rsid w:val="00F50624"/>
    <w:rsid w:val="00F66484"/>
    <w:rsid w:val="00F74BFF"/>
    <w:rsid w:val="00F959B2"/>
    <w:rsid w:val="00FC50C2"/>
    <w:rsid w:val="00FE28F6"/>
    <w:rsid w:val="3CA26501"/>
    <w:rsid w:val="42A10C85"/>
    <w:rsid w:val="48082B8C"/>
    <w:rsid w:val="630F5ECD"/>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nhideWhenUsed="0" w:uiPriority="0"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nhideWhenUsed="0" w:uiPriority="0" w:semiHidden="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10">
    <w:name w:val="Default Paragraph Font"/>
    <w:unhideWhenUsed/>
    <w:uiPriority w:val="1"/>
  </w:style>
  <w:style w:type="table" w:default="1" w:styleId="13">
    <w:name w:val="Normal Table"/>
    <w:unhideWhenUsed/>
    <w:qFormat/>
    <w:uiPriority w:val="99"/>
    <w:tblPr>
      <w:tblStyle w:val="13"/>
      <w:tblLayout w:type="fixed"/>
      <w:tblCellMar>
        <w:top w:w="0" w:type="dxa"/>
        <w:left w:w="108" w:type="dxa"/>
        <w:bottom w:w="0" w:type="dxa"/>
        <w:right w:w="108" w:type="dxa"/>
      </w:tblCellMar>
    </w:tblPr>
    <w:tcPr>
      <w:textDirection w:val="lrTb"/>
    </w:tcPr>
  </w:style>
  <w:style w:type="paragraph" w:styleId="3">
    <w:name w:val="Body Text Indent"/>
    <w:basedOn w:val="1"/>
    <w:uiPriority w:val="0"/>
    <w:pPr>
      <w:ind w:firstLine="600"/>
    </w:pPr>
    <w:rPr>
      <w:rFonts w:ascii="Arial" w:hAnsi="Arial"/>
      <w:sz w:val="24"/>
      <w:szCs w:val="36"/>
    </w:rPr>
  </w:style>
  <w:style w:type="paragraph" w:styleId="4">
    <w:name w:val="Plain Text"/>
    <w:basedOn w:val="1"/>
    <w:uiPriority w:val="0"/>
    <w:rPr>
      <w:rFonts w:ascii="宋体" w:hAnsi="Courier New" w:cs="Courier New"/>
      <w:szCs w:val="21"/>
    </w:rPr>
  </w:style>
  <w:style w:type="paragraph" w:styleId="5">
    <w:name w:val="Body Text Indent 2"/>
    <w:basedOn w:val="1"/>
    <w:uiPriority w:val="0"/>
    <w:pPr>
      <w:ind w:firstLine="480" w:firstLineChars="200"/>
    </w:pPr>
    <w:rPr>
      <w:rFonts w:ascii="Arial" w:hAnsi="Arial"/>
      <w:sz w:val="24"/>
      <w:szCs w:val="36"/>
    </w:rPr>
  </w:style>
  <w:style w:type="paragraph" w:styleId="6">
    <w:name w:val="footer"/>
    <w:basedOn w:val="1"/>
    <w:link w:val="17"/>
    <w:unhideWhenUsed/>
    <w:uiPriority w:val="99"/>
    <w:pPr>
      <w:tabs>
        <w:tab w:val="center" w:pos="4153"/>
        <w:tab w:val="right" w:pos="8306"/>
      </w:tabs>
      <w:snapToGrid w:val="0"/>
      <w:jc w:val="left"/>
    </w:pPr>
    <w:rPr>
      <w:sz w:val="18"/>
      <w:szCs w:val="18"/>
    </w:rPr>
  </w:style>
  <w:style w:type="paragraph" w:styleId="7">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paragraph" w:styleId="8">
    <w:name w:val="Body Text Indent 3"/>
    <w:basedOn w:val="1"/>
    <w:uiPriority w:val="0"/>
    <w:pPr>
      <w:ind w:firstLine="210" w:firstLineChars="100"/>
    </w:pPr>
    <w:rPr>
      <w:rFonts w:ascii="Times New Roman" w:hAnsi="Times New Roman"/>
      <w:szCs w:val="24"/>
    </w:rPr>
  </w:style>
  <w:style w:type="paragraph" w:styleId="9">
    <w:name w:val="Normal (Web)"/>
    <w:basedOn w:val="1"/>
    <w:uiPriority w:val="0"/>
    <w:pPr>
      <w:widowControl/>
      <w:spacing w:before="100" w:beforeAutospacing="1" w:after="100" w:afterAutospacing="1"/>
      <w:jc w:val="left"/>
    </w:pPr>
    <w:rPr>
      <w:rFonts w:ascii="宋体" w:hAnsi="宋体" w:cs="宋体"/>
      <w:kern w:val="0"/>
      <w:sz w:val="24"/>
      <w:szCs w:val="24"/>
    </w:rPr>
  </w:style>
  <w:style w:type="character" w:styleId="11">
    <w:name w:val="Strong"/>
    <w:qFormat/>
    <w:uiPriority w:val="0"/>
    <w:rPr>
      <w:b/>
      <w:bCs/>
    </w:rPr>
  </w:style>
  <w:style w:type="character" w:styleId="12">
    <w:name w:val="page number"/>
    <w:basedOn w:val="10"/>
    <w:unhideWhenUsed/>
    <w:uiPriority w:val="99"/>
    <w:rPr/>
  </w:style>
  <w:style w:type="paragraph" w:customStyle="1" w:styleId="14">
    <w:name w:val="List Paragraph"/>
    <w:basedOn w:val="1"/>
    <w:qFormat/>
    <w:uiPriority w:val="0"/>
    <w:pPr>
      <w:ind w:firstLine="420" w:firstLineChars="200"/>
    </w:pPr>
    <w:rPr>
      <w:rFonts w:ascii="Times New Roman" w:hAnsi="Times New Roman"/>
      <w:szCs w:val="24"/>
    </w:rPr>
  </w:style>
  <w:style w:type="paragraph" w:customStyle="1" w:styleId="15">
    <w:name w:val="style1"/>
    <w:basedOn w:val="1"/>
    <w:uiPriority w:val="0"/>
    <w:pPr>
      <w:widowControl/>
      <w:spacing w:before="100" w:beforeAutospacing="1" w:after="100" w:afterAutospacing="1"/>
      <w:jc w:val="left"/>
    </w:pPr>
    <w:rPr>
      <w:rFonts w:ascii="宋体" w:hAnsi="宋体" w:cs="宋体"/>
      <w:color w:val="000000"/>
      <w:kern w:val="0"/>
      <w:sz w:val="24"/>
      <w:szCs w:val="24"/>
    </w:rPr>
  </w:style>
  <w:style w:type="character" w:customStyle="1" w:styleId="16">
    <w:name w:val="页眉 Char"/>
    <w:link w:val="7"/>
    <w:semiHidden/>
    <w:uiPriority w:val="99"/>
    <w:rPr>
      <w:sz w:val="18"/>
      <w:szCs w:val="18"/>
    </w:rPr>
  </w:style>
  <w:style w:type="character" w:customStyle="1" w:styleId="17">
    <w:name w:val="页脚 Char"/>
    <w:link w:val="6"/>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2422</Words>
  <Characters>151</Characters>
  <Lines>1</Lines>
  <Paragraphs>5</Paragraphs>
  <ScaleCrop>false</ScaleCrop>
  <LinksUpToDate>false</LinksUpToDate>
  <CharactersWithSpaces>0</CharactersWithSpaces>
  <Application>WPS Office_9.1.0.5184_F1E327BC-269C-435d-A152-05C5408002CA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2015-09-01T03:29:00Z</dcterms:created>
  <dc:creator>微软用户</dc:creator>
  <cp:lastModifiedBy>lenovo</cp:lastModifiedBy>
  <dcterms:modified xsi:type="dcterms:W3CDTF">2015-09-01T10:09:56Z</dcterms:modified>
  <dc:title>园艺植物育种学</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