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05F" w:rsidRPr="00001E88" w:rsidRDefault="00DE605F" w:rsidP="00001E88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151405">
        <w:rPr>
          <w:rFonts w:ascii="宋体" w:hAnsi="宋体" w:hint="eastAsia"/>
          <w:b/>
          <w:bCs/>
          <w:sz w:val="32"/>
          <w:szCs w:val="32"/>
        </w:rPr>
        <w:t>7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DE605F" w:rsidRPr="00EB0E07" w:rsidRDefault="00DE605F" w:rsidP="00001E88">
      <w:pPr>
        <w:jc w:val="center"/>
        <w:rPr>
          <w:rFonts w:ascii="宋体"/>
          <w:b/>
          <w:bCs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="00334540">
        <w:rPr>
          <w:rFonts w:ascii="宋体" w:hAnsi="宋体" w:hint="eastAsia"/>
          <w:b/>
          <w:bCs/>
          <w:sz w:val="28"/>
          <w:szCs w:val="28"/>
        </w:rPr>
        <w:t>431</w:t>
      </w:r>
      <w:r w:rsidRPr="00001E88">
        <w:rPr>
          <w:rFonts w:ascii="宋体" w:hAnsi="宋体"/>
          <w:b/>
          <w:bCs/>
          <w:sz w:val="28"/>
          <w:szCs w:val="28"/>
        </w:rPr>
        <w:t xml:space="preserve">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 w:rsidRPr="00EB0E07">
        <w:rPr>
          <w:rFonts w:ascii="宋体" w:hAnsi="宋体" w:hint="eastAsia"/>
          <w:b/>
          <w:bCs/>
          <w:sz w:val="28"/>
          <w:szCs w:val="28"/>
        </w:rPr>
        <w:t>金融学综合</w:t>
      </w:r>
    </w:p>
    <w:p w:rsidR="00DE605F" w:rsidRPr="00001E88" w:rsidRDefault="00DE605F" w:rsidP="00FA75AB">
      <w:pPr>
        <w:pStyle w:val="a6"/>
        <w:rPr>
          <w:rFonts w:ascii="宋体" w:eastAsia="宋体"/>
          <w:sz w:val="24"/>
        </w:rPr>
      </w:pPr>
    </w:p>
    <w:p w:rsidR="00DE605F" w:rsidRDefault="00DE605F" w:rsidP="00001E88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试题分为客观题型和主观题型，其中客观题型（</w:t>
      </w:r>
      <w:r>
        <w:rPr>
          <w:rFonts w:ascii="宋体" w:hAnsi="宋体" w:hint="eastAsia"/>
          <w:szCs w:val="21"/>
        </w:rPr>
        <w:t>判断题、</w:t>
      </w:r>
      <w:r w:rsidRPr="00001E88">
        <w:rPr>
          <w:rFonts w:ascii="宋体" w:hAnsi="宋体" w:hint="eastAsia"/>
          <w:szCs w:val="21"/>
        </w:rPr>
        <w:t>填空题）占</w:t>
      </w:r>
      <w:r w:rsidR="004B05FE">
        <w:rPr>
          <w:rFonts w:ascii="宋体" w:hAnsi="宋体" w:hint="eastAsia"/>
          <w:szCs w:val="21"/>
        </w:rPr>
        <w:t>20</w:t>
      </w:r>
      <w:r w:rsidRPr="00001E88">
        <w:rPr>
          <w:rFonts w:ascii="宋体" w:hAnsi="宋体"/>
          <w:szCs w:val="21"/>
        </w:rPr>
        <w:t>%</w:t>
      </w:r>
      <w:r>
        <w:rPr>
          <w:rFonts w:ascii="宋体" w:hAnsi="宋体" w:hint="eastAsia"/>
          <w:szCs w:val="21"/>
        </w:rPr>
        <w:t>，主观题型（</w:t>
      </w:r>
      <w:r w:rsidR="004B05FE">
        <w:rPr>
          <w:rFonts w:ascii="宋体" w:hAnsi="宋体" w:hint="eastAsia"/>
          <w:szCs w:val="21"/>
        </w:rPr>
        <w:t>名词解释、</w:t>
      </w:r>
      <w:r>
        <w:rPr>
          <w:rFonts w:ascii="宋体" w:hAnsi="宋体" w:hint="eastAsia"/>
          <w:szCs w:val="21"/>
        </w:rPr>
        <w:t>简答题、计算题</w:t>
      </w:r>
      <w:r w:rsidRPr="00001E88">
        <w:rPr>
          <w:rFonts w:ascii="宋体" w:hAnsi="宋体" w:hint="eastAsia"/>
          <w:szCs w:val="21"/>
        </w:rPr>
        <w:t>与证明题</w:t>
      </w:r>
      <w:r>
        <w:rPr>
          <w:rFonts w:ascii="宋体" w:hAnsi="宋体" w:hint="eastAsia"/>
          <w:szCs w:val="21"/>
        </w:rPr>
        <w:t>、论述题</w:t>
      </w:r>
      <w:r w:rsidRPr="00001E88">
        <w:rPr>
          <w:rFonts w:ascii="宋体" w:hAnsi="宋体" w:hint="eastAsia"/>
          <w:szCs w:val="21"/>
        </w:rPr>
        <w:t>）占</w:t>
      </w:r>
      <w:r w:rsidR="004B05FE">
        <w:rPr>
          <w:rFonts w:ascii="宋体" w:hAnsi="宋体" w:hint="eastAsia"/>
          <w:szCs w:val="21"/>
        </w:rPr>
        <w:t>80</w:t>
      </w:r>
      <w:r w:rsidRPr="00001E88">
        <w:rPr>
          <w:rFonts w:ascii="宋体" w:hAnsi="宋体"/>
          <w:szCs w:val="21"/>
        </w:rPr>
        <w:t>%</w:t>
      </w:r>
      <w:r w:rsidRPr="00001E88">
        <w:rPr>
          <w:rFonts w:ascii="宋体" w:hAnsi="宋体" w:hint="eastAsia"/>
          <w:szCs w:val="21"/>
        </w:rPr>
        <w:t>，具体复习大纲如下：</w:t>
      </w:r>
    </w:p>
    <w:p w:rsidR="00DE605F" w:rsidRDefault="00DE605F" w:rsidP="00EB0E07">
      <w:pPr>
        <w:spacing w:line="300" w:lineRule="auto"/>
        <w:ind w:rightChars="-294" w:right="-617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第一部分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货币金融学</w:t>
      </w:r>
      <w:r w:rsidR="00A2652C">
        <w:rPr>
          <w:rFonts w:ascii="宋体" w:hAnsi="宋体" w:hint="eastAsia"/>
          <w:szCs w:val="21"/>
        </w:rPr>
        <w:t>（占比60%）</w:t>
      </w:r>
    </w:p>
    <w:p w:rsidR="00DE605F" w:rsidRPr="00EB0E07" w:rsidRDefault="00DE605F" w:rsidP="00A86A4E">
      <w:pPr>
        <w:spacing w:line="300" w:lineRule="auto"/>
        <w:ind w:rightChars="-294" w:right="-617" w:firstLineChars="200" w:firstLine="420"/>
        <w:rPr>
          <w:rFonts w:ascii="宋体"/>
          <w:szCs w:val="21"/>
        </w:rPr>
      </w:pPr>
      <w:r w:rsidRPr="00EB0E07">
        <w:rPr>
          <w:rFonts w:ascii="宋体" w:hAnsi="宋体" w:hint="eastAsia"/>
          <w:szCs w:val="21"/>
        </w:rPr>
        <w:t>一、货币和货币制度</w:t>
      </w:r>
    </w:p>
    <w:p w:rsidR="00DE605F" w:rsidRPr="0039499C" w:rsidRDefault="00DE605F" w:rsidP="0039499C">
      <w:pPr>
        <w:spacing w:line="300" w:lineRule="auto"/>
        <w:ind w:rightChars="-294" w:right="-617" w:firstLineChars="200"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、货币的概念，</w:t>
      </w:r>
      <w:r w:rsidR="0039499C" w:rsidRPr="0039499C">
        <w:rPr>
          <w:rFonts w:ascii="宋体" w:hAnsi="宋体" w:hint="eastAsia"/>
          <w:bCs/>
          <w:szCs w:val="21"/>
        </w:rPr>
        <w:t>货币的产生与本质</w:t>
      </w:r>
      <w:r w:rsidR="0039499C">
        <w:rPr>
          <w:rFonts w:ascii="宋体" w:hAnsi="宋体" w:hint="eastAsia"/>
          <w:szCs w:val="21"/>
        </w:rPr>
        <w:t>，</w:t>
      </w:r>
      <w:r w:rsidRPr="00EB0E07">
        <w:rPr>
          <w:rFonts w:ascii="宋体" w:hAnsi="宋体" w:hint="eastAsia"/>
          <w:szCs w:val="21"/>
        </w:rPr>
        <w:t>货币形态演进的规律，信用货币的实质</w:t>
      </w:r>
    </w:p>
    <w:p w:rsidR="00DE605F" w:rsidRDefault="00DE605F" w:rsidP="00A86A4E">
      <w:pPr>
        <w:spacing w:line="300" w:lineRule="auto"/>
        <w:ind w:rightChars="-294" w:right="-617" w:firstLineChars="200"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、货币制度的演进，各种货币制度的特点</w:t>
      </w:r>
    </w:p>
    <w:p w:rsidR="00A2652C" w:rsidRDefault="00A2652C" w:rsidP="00A86A4E">
      <w:pPr>
        <w:spacing w:line="300" w:lineRule="auto"/>
        <w:ind w:rightChars="-294" w:right="-617" w:firstLineChars="200" w:firstLine="420"/>
      </w:pPr>
      <w:r>
        <w:rPr>
          <w:rFonts w:ascii="宋体" w:hAnsi="宋体" w:hint="eastAsia"/>
          <w:szCs w:val="21"/>
        </w:rPr>
        <w:t>二、</w:t>
      </w:r>
      <w:r w:rsidRPr="00992B5E">
        <w:rPr>
          <w:rFonts w:hint="eastAsia"/>
        </w:rPr>
        <w:t>信用与经济</w:t>
      </w:r>
    </w:p>
    <w:p w:rsidR="00A2652C" w:rsidRDefault="00A2652C" w:rsidP="00A86A4E">
      <w:pPr>
        <w:spacing w:line="300" w:lineRule="auto"/>
        <w:ind w:rightChars="-294" w:right="-617"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992B5E">
        <w:rPr>
          <w:rFonts w:hint="eastAsia"/>
        </w:rPr>
        <w:t>信用的要素构成与特征</w:t>
      </w:r>
      <w:r>
        <w:rPr>
          <w:rFonts w:hint="eastAsia"/>
        </w:rPr>
        <w:t>、</w:t>
      </w:r>
      <w:r w:rsidRPr="00992B5E">
        <w:rPr>
          <w:rFonts w:hint="eastAsia"/>
        </w:rPr>
        <w:t>信用的运行</w:t>
      </w:r>
      <w:r>
        <w:rPr>
          <w:rFonts w:hint="eastAsia"/>
        </w:rPr>
        <w:t>、</w:t>
      </w:r>
      <w:r w:rsidRPr="00992B5E">
        <w:rPr>
          <w:rFonts w:hint="eastAsia"/>
        </w:rPr>
        <w:t>信用的基本形式</w:t>
      </w:r>
    </w:p>
    <w:p w:rsidR="00DE605F" w:rsidRPr="00A86A4E" w:rsidRDefault="00A2652C" w:rsidP="00A2652C">
      <w:pPr>
        <w:spacing w:line="300" w:lineRule="auto"/>
        <w:ind w:leftChars="200" w:left="420" w:rightChars="-294" w:right="-617"/>
        <w:rPr>
          <w:rFonts w:ascii="宋体" w:hAnsi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992B5E">
        <w:rPr>
          <w:rFonts w:hint="eastAsia"/>
        </w:rPr>
        <w:t>信用工具的种类</w:t>
      </w:r>
      <w:r>
        <w:rPr>
          <w:rFonts w:hint="eastAsia"/>
        </w:rPr>
        <w:t>、</w:t>
      </w:r>
      <w:r w:rsidRPr="00992B5E">
        <w:rPr>
          <w:rFonts w:hint="eastAsia"/>
        </w:rPr>
        <w:t>信用工具的属性</w:t>
      </w:r>
      <w:r>
        <w:rPr>
          <w:rFonts w:hint="eastAsia"/>
        </w:rPr>
        <w:t>、</w:t>
      </w:r>
      <w:r w:rsidRPr="00992B5E">
        <w:rPr>
          <w:rFonts w:hint="eastAsia"/>
        </w:rPr>
        <w:t>金融资产与金融资产结构</w:t>
      </w:r>
      <w:r>
        <w:rPr>
          <w:rFonts w:hint="eastAsia"/>
        </w:rPr>
        <w:t>、</w:t>
      </w:r>
      <w:r w:rsidRPr="00992B5E">
        <w:rPr>
          <w:rFonts w:hint="eastAsia"/>
        </w:rPr>
        <w:t>信用在经济发展中的作用</w:t>
      </w:r>
      <w:r>
        <w:rPr>
          <w:rFonts w:ascii="宋体" w:hAnsi="宋体" w:hint="eastAsia"/>
          <w:szCs w:val="21"/>
        </w:rPr>
        <w:t>三</w:t>
      </w:r>
      <w:r w:rsidR="00DE605F" w:rsidRPr="00EB0E07">
        <w:rPr>
          <w:rFonts w:ascii="宋体" w:hAnsi="宋体" w:hint="eastAsia"/>
          <w:szCs w:val="21"/>
        </w:rPr>
        <w:t>、利息和利率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、利息、利率、利率期限结构和风险结构的概念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、单利、复利的计算，到期收益率的计算</w:t>
      </w:r>
    </w:p>
    <w:p w:rsidR="00DE605F" w:rsidRPr="00A86A4E" w:rsidRDefault="00DE605F" w:rsidP="0039499C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3</w:t>
      </w:r>
      <w:r w:rsidRPr="00EB0E07">
        <w:rPr>
          <w:rFonts w:ascii="宋体" w:hAnsi="宋体" w:hint="eastAsia"/>
          <w:szCs w:val="21"/>
        </w:rPr>
        <w:t>、利率决定理论</w:t>
      </w:r>
      <w:r w:rsidR="0039499C">
        <w:rPr>
          <w:rFonts w:ascii="宋体" w:hAnsi="宋体" w:hint="eastAsia"/>
          <w:szCs w:val="21"/>
        </w:rPr>
        <w:t>，</w:t>
      </w:r>
      <w:r w:rsidR="0039499C" w:rsidRPr="0039499C">
        <w:rPr>
          <w:rFonts w:ascii="宋体" w:hAnsi="宋体" w:hint="eastAsia"/>
          <w:bCs/>
          <w:szCs w:val="21"/>
        </w:rPr>
        <w:t>利率的风险结构和期限结构</w:t>
      </w:r>
      <w:r w:rsidRPr="00EB0E07">
        <w:rPr>
          <w:rFonts w:ascii="宋体" w:hAnsi="宋体" w:hint="eastAsia"/>
          <w:szCs w:val="21"/>
        </w:rPr>
        <w:t>理论</w:t>
      </w:r>
    </w:p>
    <w:p w:rsidR="00DE605F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</w:t>
      </w:r>
      <w:r w:rsidR="00DE605F" w:rsidRPr="00EB0E07">
        <w:rPr>
          <w:rFonts w:ascii="宋体" w:hAnsi="宋体" w:hint="eastAsia"/>
          <w:szCs w:val="21"/>
        </w:rPr>
        <w:t>、金融体系和金融市场</w:t>
      </w:r>
    </w:p>
    <w:p w:rsidR="0039499C" w:rsidRDefault="0039499C" w:rsidP="0039499C">
      <w:pPr>
        <w:spacing w:line="300" w:lineRule="auto"/>
        <w:ind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>1、</w:t>
      </w:r>
      <w:r w:rsidRPr="0039499C">
        <w:rPr>
          <w:rFonts w:ascii="宋体" w:hAnsi="宋体" w:hint="eastAsia"/>
          <w:bCs/>
          <w:szCs w:val="21"/>
        </w:rPr>
        <w:t>金融体系概述</w:t>
      </w:r>
      <w:r>
        <w:rPr>
          <w:rFonts w:ascii="宋体" w:hAnsi="宋体" w:hint="eastAsia"/>
          <w:bCs/>
          <w:szCs w:val="21"/>
        </w:rPr>
        <w:t>，</w:t>
      </w:r>
      <w:r w:rsidRPr="0039499C">
        <w:rPr>
          <w:rFonts w:ascii="宋体" w:hAnsi="宋体" w:hint="eastAsia"/>
          <w:bCs/>
          <w:szCs w:val="21"/>
        </w:rPr>
        <w:t xml:space="preserve"> 我国的金融机构体系</w:t>
      </w:r>
    </w:p>
    <w:p w:rsidR="0039499C" w:rsidRPr="0039499C" w:rsidRDefault="0039499C" w:rsidP="0039499C">
      <w:pPr>
        <w:spacing w:line="300" w:lineRule="auto"/>
        <w:ind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2、</w:t>
      </w:r>
      <w:r w:rsidRPr="0039499C">
        <w:rPr>
          <w:rFonts w:ascii="宋体" w:hAnsi="宋体" w:hint="eastAsia"/>
          <w:bCs/>
          <w:szCs w:val="21"/>
        </w:rPr>
        <w:t>金融市场及其要素</w:t>
      </w:r>
    </w:p>
    <w:p w:rsidR="00DE605F" w:rsidRPr="00A86A4E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DE605F" w:rsidRPr="00EB0E07">
        <w:rPr>
          <w:rFonts w:ascii="宋体" w:hAnsi="宋体" w:hint="eastAsia"/>
          <w:szCs w:val="21"/>
        </w:rPr>
        <w:t>、票据、债券、股票的概念、种类、发行及流通特征</w:t>
      </w:r>
    </w:p>
    <w:p w:rsidR="00DE605F" w:rsidRPr="00A86A4E" w:rsidRDefault="00DE605F" w:rsidP="00A2652C">
      <w:pPr>
        <w:numPr>
          <w:ilvl w:val="0"/>
          <w:numId w:val="9"/>
        </w:numPr>
        <w:spacing w:line="300" w:lineRule="auto"/>
        <w:rPr>
          <w:rFonts w:ascii="宋体" w:hAnsi="宋体"/>
          <w:szCs w:val="21"/>
        </w:rPr>
      </w:pPr>
      <w:r w:rsidRPr="00EB0E07">
        <w:rPr>
          <w:rFonts w:ascii="宋体" w:hAnsi="宋体" w:hint="eastAsia"/>
          <w:szCs w:val="21"/>
        </w:rPr>
        <w:t>货币市场、资本市场的概念及主要交易产品类型及特征</w:t>
      </w:r>
    </w:p>
    <w:p w:rsidR="00DE605F" w:rsidRDefault="00DE605F" w:rsidP="00A2652C">
      <w:pPr>
        <w:numPr>
          <w:ilvl w:val="0"/>
          <w:numId w:val="9"/>
        </w:numPr>
        <w:spacing w:line="300" w:lineRule="auto"/>
        <w:rPr>
          <w:rFonts w:ascii="宋体" w:hAnsi="宋体"/>
          <w:szCs w:val="21"/>
        </w:rPr>
      </w:pPr>
      <w:r w:rsidRPr="00EB0E07">
        <w:rPr>
          <w:rFonts w:ascii="宋体" w:hAnsi="宋体" w:hint="eastAsia"/>
          <w:szCs w:val="21"/>
        </w:rPr>
        <w:t>有效市场假说理论、马可维茨的资产组合理论</w:t>
      </w:r>
    </w:p>
    <w:p w:rsidR="0039499C" w:rsidRDefault="00A2652C" w:rsidP="005D0860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五</w:t>
      </w:r>
      <w:r w:rsidR="005D0860">
        <w:rPr>
          <w:rFonts w:ascii="宋体" w:hAnsi="宋体" w:hint="eastAsia"/>
          <w:szCs w:val="21"/>
        </w:rPr>
        <w:t>、</w:t>
      </w:r>
      <w:r w:rsidR="0039499C">
        <w:rPr>
          <w:rFonts w:ascii="宋体" w:hAnsi="宋体" w:hint="eastAsia"/>
          <w:szCs w:val="21"/>
        </w:rPr>
        <w:t>商业银行与中央银行</w:t>
      </w:r>
    </w:p>
    <w:p w:rsidR="005D0860" w:rsidRDefault="005D0860" w:rsidP="005D0860">
      <w:pPr>
        <w:spacing w:line="300" w:lineRule="auto"/>
        <w:ind w:leftChars="200" w:left="525" w:hangingChars="50" w:hanging="105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1、</w:t>
      </w:r>
      <w:r w:rsidR="00F7532F" w:rsidRPr="005D0860">
        <w:rPr>
          <w:rFonts w:ascii="宋体" w:hAnsi="宋体" w:hint="eastAsia"/>
          <w:bCs/>
          <w:szCs w:val="21"/>
        </w:rPr>
        <w:t xml:space="preserve">商业银行的产生与发展 </w:t>
      </w:r>
      <w:r w:rsidR="0039499C" w:rsidRPr="005D0860">
        <w:rPr>
          <w:rFonts w:ascii="宋体" w:hAnsi="宋体" w:hint="eastAsia"/>
          <w:szCs w:val="21"/>
        </w:rPr>
        <w:t>，</w:t>
      </w:r>
      <w:r w:rsidR="00F7532F" w:rsidRPr="005D0860">
        <w:rPr>
          <w:rFonts w:ascii="宋体" w:hAnsi="宋体" w:hint="eastAsia"/>
          <w:bCs/>
          <w:szCs w:val="21"/>
        </w:rPr>
        <w:t>商业银行概念、特征和分类</w:t>
      </w:r>
    </w:p>
    <w:p w:rsidR="00202B0E" w:rsidRDefault="00F7532F" w:rsidP="005D0860">
      <w:pPr>
        <w:numPr>
          <w:ilvl w:val="0"/>
          <w:numId w:val="7"/>
        </w:numPr>
        <w:spacing w:line="300" w:lineRule="auto"/>
        <w:rPr>
          <w:rFonts w:ascii="宋体" w:hAnsi="宋体"/>
          <w:bCs/>
          <w:szCs w:val="21"/>
        </w:rPr>
      </w:pPr>
      <w:r w:rsidRPr="005D0860">
        <w:rPr>
          <w:rFonts w:ascii="宋体" w:hAnsi="宋体" w:hint="eastAsia"/>
          <w:bCs/>
          <w:szCs w:val="21"/>
        </w:rPr>
        <w:t>商业银行的资产与负债</w:t>
      </w:r>
      <w:r w:rsidR="0039499C" w:rsidRPr="005D0860">
        <w:rPr>
          <w:rFonts w:ascii="宋体" w:hAnsi="宋体" w:hint="eastAsia"/>
          <w:bCs/>
          <w:szCs w:val="21"/>
        </w:rPr>
        <w:t>，</w:t>
      </w:r>
      <w:r w:rsidRPr="005D0860">
        <w:rPr>
          <w:rFonts w:ascii="宋体" w:hAnsi="宋体" w:hint="eastAsia"/>
          <w:bCs/>
          <w:szCs w:val="21"/>
        </w:rPr>
        <w:t>商业银行的中间业务</w:t>
      </w:r>
      <w:r w:rsidR="005D0860" w:rsidRPr="005D0860">
        <w:rPr>
          <w:rFonts w:ascii="宋体" w:hAnsi="宋体" w:hint="eastAsia"/>
          <w:bCs/>
          <w:szCs w:val="21"/>
        </w:rPr>
        <w:t>，</w:t>
      </w:r>
      <w:r w:rsidRPr="005D0860">
        <w:rPr>
          <w:rFonts w:ascii="宋体" w:hAnsi="宋体" w:hint="eastAsia"/>
          <w:bCs/>
          <w:szCs w:val="21"/>
        </w:rPr>
        <w:t xml:space="preserve">商业银行的经营原则与管理 </w:t>
      </w:r>
    </w:p>
    <w:p w:rsidR="005D0860" w:rsidRPr="005D0860" w:rsidRDefault="005D0860" w:rsidP="005D0860">
      <w:pPr>
        <w:spacing w:line="300" w:lineRule="auto"/>
        <w:ind w:leftChars="50" w:left="105" w:firstLineChars="150" w:firstLine="315"/>
        <w:rPr>
          <w:rFonts w:ascii="宋体" w:hAnsi="宋体"/>
          <w:bCs/>
          <w:szCs w:val="21"/>
        </w:rPr>
      </w:pPr>
      <w:r w:rsidRPr="005D0860">
        <w:rPr>
          <w:rFonts w:ascii="宋体" w:hAnsi="宋体" w:hint="eastAsia"/>
          <w:bCs/>
          <w:szCs w:val="21"/>
        </w:rPr>
        <w:t>3、</w:t>
      </w:r>
      <w:r w:rsidR="00F7532F" w:rsidRPr="005D0860">
        <w:rPr>
          <w:rFonts w:ascii="宋体" w:hAnsi="宋体" w:hint="eastAsia"/>
          <w:bCs/>
          <w:szCs w:val="21"/>
        </w:rPr>
        <w:t>中央银行的产生与发展</w:t>
      </w:r>
      <w:r w:rsidRPr="005D0860">
        <w:rPr>
          <w:rFonts w:ascii="宋体" w:hAnsi="宋体" w:hint="eastAsia"/>
          <w:bCs/>
          <w:szCs w:val="21"/>
        </w:rPr>
        <w:t>，中央银行的性质和类型，中央银行的职能</w:t>
      </w:r>
    </w:p>
    <w:p w:rsidR="00202B0E" w:rsidRPr="005D0860" w:rsidRDefault="005D0860" w:rsidP="005D0860">
      <w:pPr>
        <w:spacing w:line="300" w:lineRule="auto"/>
        <w:ind w:left="420"/>
        <w:rPr>
          <w:rFonts w:ascii="宋体" w:hAnsi="宋体"/>
          <w:bCs/>
          <w:szCs w:val="21"/>
        </w:rPr>
      </w:pPr>
      <w:r w:rsidRPr="005D0860">
        <w:rPr>
          <w:rFonts w:ascii="宋体" w:hAnsi="宋体" w:hint="eastAsia"/>
          <w:bCs/>
          <w:szCs w:val="21"/>
        </w:rPr>
        <w:t>4、中央银行的资产与负债</w:t>
      </w:r>
      <w:r>
        <w:rPr>
          <w:rFonts w:ascii="宋体" w:hAnsi="宋体" w:hint="eastAsia"/>
          <w:bCs/>
          <w:szCs w:val="21"/>
        </w:rPr>
        <w:t>，</w:t>
      </w:r>
      <w:r w:rsidR="00F7532F" w:rsidRPr="005D0860">
        <w:rPr>
          <w:rFonts w:ascii="宋体" w:hAnsi="宋体" w:hint="eastAsia"/>
          <w:bCs/>
          <w:szCs w:val="21"/>
        </w:rPr>
        <w:t xml:space="preserve">中央银行的独立性 </w:t>
      </w:r>
    </w:p>
    <w:p w:rsidR="00DE605F" w:rsidRPr="00A86A4E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六</w:t>
      </w:r>
      <w:r w:rsidR="00DE605F" w:rsidRPr="00EB0E07">
        <w:rPr>
          <w:rFonts w:ascii="宋体" w:hAnsi="宋体" w:hint="eastAsia"/>
          <w:szCs w:val="21"/>
        </w:rPr>
        <w:t>、货币需求与货币供给</w:t>
      </w:r>
    </w:p>
    <w:p w:rsidR="00DE605F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、货币需求、货币供给的概念，流动性陷阱的概念，基础货币、货币流通速度、货币乘数的概念</w:t>
      </w:r>
    </w:p>
    <w:p w:rsidR="005D0860" w:rsidRPr="005D0860" w:rsidRDefault="005D0860" w:rsidP="005D0860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Pr="005D0860">
        <w:rPr>
          <w:rFonts w:ascii="宋体" w:hAnsi="宋体" w:hint="eastAsia"/>
          <w:szCs w:val="21"/>
        </w:rPr>
        <w:t>存款创造</w:t>
      </w:r>
      <w:r>
        <w:rPr>
          <w:rFonts w:ascii="宋体" w:hAnsi="宋体" w:hint="eastAsia"/>
          <w:szCs w:val="21"/>
        </w:rPr>
        <w:t>与货币</w:t>
      </w:r>
      <w:r w:rsidRPr="005D0860">
        <w:rPr>
          <w:rFonts w:ascii="宋体" w:hAnsi="宋体" w:hint="eastAsia"/>
          <w:bCs/>
          <w:szCs w:val="21"/>
        </w:rPr>
        <w:t>乘数</w:t>
      </w:r>
    </w:p>
    <w:p w:rsidR="00DE605F" w:rsidRPr="00A86A4E" w:rsidRDefault="005D0860" w:rsidP="005D0860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DE605F" w:rsidRPr="00EB0E07">
        <w:rPr>
          <w:rFonts w:ascii="宋体" w:hAnsi="宋体" w:hint="eastAsia"/>
          <w:szCs w:val="21"/>
        </w:rPr>
        <w:t>、</w:t>
      </w:r>
      <w:r w:rsidRPr="005D0860">
        <w:rPr>
          <w:rFonts w:ascii="宋体" w:hAnsi="宋体" w:hint="eastAsia"/>
          <w:bCs/>
          <w:szCs w:val="21"/>
        </w:rPr>
        <w:t>传统的货币数量说</w:t>
      </w:r>
      <w:r>
        <w:rPr>
          <w:rFonts w:ascii="宋体" w:hAnsi="宋体" w:hint="eastAsia"/>
          <w:bCs/>
          <w:szCs w:val="21"/>
        </w:rPr>
        <w:t>、</w:t>
      </w:r>
      <w:r w:rsidR="00DE605F" w:rsidRPr="00EB0E07">
        <w:rPr>
          <w:rFonts w:ascii="宋体" w:hAnsi="宋体" w:hint="eastAsia"/>
          <w:szCs w:val="21"/>
        </w:rPr>
        <w:t>凯恩斯学派和货币主义学派的货币需求理论、函数形式及运算</w:t>
      </w:r>
    </w:p>
    <w:p w:rsidR="00DE605F" w:rsidRPr="00A86A4E" w:rsidRDefault="005D0860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DE605F" w:rsidRPr="00EB0E07">
        <w:rPr>
          <w:rFonts w:ascii="宋体" w:hAnsi="宋体" w:hint="eastAsia"/>
          <w:szCs w:val="21"/>
        </w:rPr>
        <w:t>、简单存款模型、</w:t>
      </w:r>
      <w:proofErr w:type="gramStart"/>
      <w:r w:rsidR="00DE605F" w:rsidRPr="00EB0E07">
        <w:rPr>
          <w:rFonts w:ascii="宋体" w:hAnsi="宋体" w:hint="eastAsia"/>
          <w:szCs w:val="21"/>
        </w:rPr>
        <w:t>卡甘货币</w:t>
      </w:r>
      <w:proofErr w:type="gramEnd"/>
      <w:r w:rsidR="00DE605F" w:rsidRPr="00EB0E07">
        <w:rPr>
          <w:rFonts w:ascii="宋体" w:hAnsi="宋体" w:hint="eastAsia"/>
          <w:szCs w:val="21"/>
        </w:rPr>
        <w:t>乘数公式的推导及运算</w:t>
      </w:r>
    </w:p>
    <w:p w:rsidR="00DE605F" w:rsidRPr="00A86A4E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七</w:t>
      </w:r>
      <w:r w:rsidR="00DE605F" w:rsidRPr="00EB0E07">
        <w:rPr>
          <w:rFonts w:ascii="宋体" w:hAnsi="宋体" w:hint="eastAsia"/>
          <w:szCs w:val="21"/>
        </w:rPr>
        <w:t>、货币政策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lastRenderedPageBreak/>
        <w:t>1</w:t>
      </w:r>
      <w:r w:rsidRPr="00EB0E07">
        <w:rPr>
          <w:rFonts w:ascii="宋体" w:hAnsi="宋体" w:hint="eastAsia"/>
          <w:szCs w:val="21"/>
        </w:rPr>
        <w:t>、货币政策目标的内容、货币政策工具的概念及特点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、货币政策目标与其他宏观经济目标的协调与冲突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3</w:t>
      </w:r>
      <w:r w:rsidRPr="00EB0E07">
        <w:rPr>
          <w:rFonts w:ascii="宋体" w:hAnsi="宋体" w:hint="eastAsia"/>
          <w:szCs w:val="21"/>
        </w:rPr>
        <w:t>、各学派的货币政策传导理论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4</w:t>
      </w:r>
      <w:r w:rsidRPr="00EB0E07">
        <w:rPr>
          <w:rFonts w:ascii="宋体" w:hAnsi="宋体" w:hint="eastAsia"/>
          <w:szCs w:val="21"/>
        </w:rPr>
        <w:t>、货币政策有效性及时滞分析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 w:hint="eastAsia"/>
          <w:szCs w:val="21"/>
        </w:rPr>
        <w:t>六、通货膨胀与通货紧缩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、通货膨胀、通货紧缩概念，通货膨胀的度量指标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、通货膨胀的经济促退论与经济促进论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3</w:t>
      </w:r>
      <w:r w:rsidRPr="00EB0E07">
        <w:rPr>
          <w:rFonts w:ascii="宋体" w:hAnsi="宋体" w:hint="eastAsia"/>
          <w:szCs w:val="21"/>
        </w:rPr>
        <w:t>、通货膨胀的成因理论</w:t>
      </w:r>
    </w:p>
    <w:p w:rsidR="00DE605F" w:rsidRDefault="00DE605F" w:rsidP="00EB0E07">
      <w:pPr>
        <w:spacing w:line="300" w:lineRule="auto"/>
        <w:ind w:rightChars="-294" w:right="-617"/>
        <w:rPr>
          <w:rFonts w:ascii="宋体"/>
          <w:szCs w:val="21"/>
        </w:rPr>
      </w:pPr>
    </w:p>
    <w:p w:rsidR="00DE605F" w:rsidRPr="00001E88" w:rsidRDefault="00DE605F" w:rsidP="00EB0E07">
      <w:pPr>
        <w:spacing w:line="300" w:lineRule="auto"/>
        <w:ind w:rightChars="-294" w:right="-617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第二部分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财务管理</w:t>
      </w:r>
      <w:r w:rsidR="00035DF5">
        <w:rPr>
          <w:rFonts w:ascii="宋体" w:hAnsi="宋体" w:hint="eastAsia"/>
          <w:szCs w:val="21"/>
        </w:rPr>
        <w:t>（占比40%）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一、</w:t>
      </w:r>
      <w:r>
        <w:rPr>
          <w:rFonts w:ascii="宋体" w:hAnsi="宋体" w:hint="eastAsia"/>
          <w:szCs w:val="21"/>
        </w:rPr>
        <w:t>财务管理</w:t>
      </w:r>
      <w:r w:rsidRPr="00EB513E">
        <w:rPr>
          <w:rFonts w:ascii="宋体" w:hAnsi="宋体" w:hint="eastAsia"/>
          <w:szCs w:val="21"/>
        </w:rPr>
        <w:t>基础</w:t>
      </w:r>
    </w:p>
    <w:p w:rsidR="00DE605F" w:rsidRPr="000E51E0" w:rsidRDefault="00DE605F" w:rsidP="001A029B">
      <w:pPr>
        <w:spacing w:line="300" w:lineRule="auto"/>
        <w:ind w:firstLine="420"/>
        <w:rPr>
          <w:rFonts w:ascii="宋体"/>
          <w:szCs w:val="21"/>
        </w:rPr>
      </w:pPr>
      <w:bookmarkStart w:id="1" w:name="_Toc261079781"/>
      <w:r w:rsidRPr="000E51E0">
        <w:rPr>
          <w:rFonts w:ascii="宋体" w:hAnsi="宋体"/>
          <w:szCs w:val="21"/>
        </w:rPr>
        <w:t>1</w:t>
      </w:r>
      <w:r w:rsidRPr="000E51E0">
        <w:rPr>
          <w:rFonts w:ascii="宋体" w:hAnsi="宋体" w:hint="eastAsia"/>
          <w:szCs w:val="21"/>
        </w:rPr>
        <w:t>、财务管理的概念和内容、</w:t>
      </w:r>
      <w:bookmarkStart w:id="2" w:name="_Toc257751086"/>
      <w:bookmarkStart w:id="3" w:name="_Toc257751329"/>
      <w:bookmarkStart w:id="4" w:name="_Toc258159131"/>
      <w:bookmarkStart w:id="5" w:name="_Toc259371714"/>
      <w:bookmarkStart w:id="6" w:name="_Toc393976500"/>
      <w:r w:rsidRPr="000E51E0">
        <w:rPr>
          <w:rFonts w:ascii="宋体" w:hAnsi="宋体" w:hint="eastAsia"/>
          <w:szCs w:val="21"/>
        </w:rPr>
        <w:t>企业财务管理目标</w:t>
      </w:r>
      <w:bookmarkEnd w:id="2"/>
      <w:bookmarkEnd w:id="3"/>
      <w:bookmarkEnd w:id="4"/>
      <w:bookmarkEnd w:id="5"/>
      <w:bookmarkEnd w:id="6"/>
      <w:r w:rsidRPr="000E51E0">
        <w:rPr>
          <w:rFonts w:ascii="宋体" w:hAnsi="宋体" w:hint="eastAsia"/>
          <w:szCs w:val="21"/>
        </w:rPr>
        <w:t>、影响财务决策的税收环境、金融市场的功能及其在财务管理中的作用和财务管理的组织与执行</w:t>
      </w:r>
      <w:r>
        <w:rPr>
          <w:rFonts w:ascii="宋体" w:hAnsi="宋体"/>
          <w:szCs w:val="21"/>
        </w:rPr>
        <w:t>.</w:t>
      </w:r>
    </w:p>
    <w:p w:rsidR="00DE605F" w:rsidRPr="001A029B" w:rsidRDefault="00DE605F" w:rsidP="001A029B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 w:rsidRPr="001A029B">
        <w:rPr>
          <w:rFonts w:ascii="宋体" w:hAnsi="宋体" w:hint="eastAsia"/>
          <w:szCs w:val="21"/>
        </w:rPr>
        <w:t>、货币时间价值</w:t>
      </w:r>
      <w:bookmarkEnd w:id="1"/>
      <w:r w:rsidRPr="001A029B">
        <w:rPr>
          <w:rFonts w:ascii="宋体" w:hAnsi="宋体" w:hint="eastAsia"/>
          <w:szCs w:val="21"/>
        </w:rPr>
        <w:t>、</w:t>
      </w:r>
      <w:bookmarkStart w:id="7" w:name="_Toc261079784"/>
      <w:r w:rsidRPr="001A029B">
        <w:rPr>
          <w:rFonts w:ascii="宋体" w:hAnsi="宋体" w:hint="eastAsia"/>
          <w:szCs w:val="21"/>
        </w:rPr>
        <w:t>风险与收益</w:t>
      </w:r>
      <w:bookmarkEnd w:id="7"/>
      <w:r w:rsidRPr="001A029B">
        <w:rPr>
          <w:rFonts w:ascii="宋体" w:hAnsi="宋体" w:hint="eastAsia"/>
          <w:szCs w:val="21"/>
        </w:rPr>
        <w:t>、利率与通货膨胀</w:t>
      </w:r>
      <w:r>
        <w:rPr>
          <w:rFonts w:ascii="宋体" w:hAnsi="宋体"/>
          <w:szCs w:val="21"/>
        </w:rPr>
        <w:t>.</w:t>
      </w:r>
    </w:p>
    <w:p w:rsidR="00DE605F" w:rsidRPr="001A029B" w:rsidRDefault="00DE605F" w:rsidP="001A029B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 w:rsidRPr="001A029B">
        <w:rPr>
          <w:rFonts w:ascii="宋体" w:hAnsi="宋体" w:hint="eastAsia"/>
          <w:szCs w:val="21"/>
        </w:rPr>
        <w:t>、财务报告分析的原理和方法、资产负债表分析、利润表分析、现金流量表分析、企业综合财务能力分析</w:t>
      </w:r>
      <w:r w:rsidRPr="001A029B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二、筹资理论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、筹资企业筹资的动机与要求、筹资渠道与筹资方式、资金需求量的预测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、债务筹资、商业信用筹资、借款筹资、债券筹资、其他筹资方式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、股权筹资、吸收直接投资、普通股筹资、优先股筹资、留存收益筹资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4</w:t>
      </w:r>
      <w:r w:rsidRPr="00EB513E">
        <w:rPr>
          <w:rFonts w:ascii="宋体" w:hAnsi="宋体" w:hint="eastAsia"/>
          <w:szCs w:val="21"/>
        </w:rPr>
        <w:t>、资本成本与资本结构、资本成本、企业杠杆原理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三、投资理论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、项目投资决策现金流量的估算、静态投资决策方法、动态投资决策方法、投资敏感性分析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、证券投资的估价、债券估价、股票的股价、基金和其他证券的投资、利率对证券价值的影响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、投资风险管理、风险分析与统计、投资组合与风险分散、风险资产的定价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四、财务政策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、财务战略、企业战略与财务战略、财务战略的内容、财务战略管理流程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、财务规划、利润规划、全面预算体系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、财务控制、采购中的财务控制、销售中的财务控制、生产中的财务控制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五、其他议题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、流动资产管理、现金管理、应收账款管理、存货和其他流动资产管理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、公司盈余管理、股利分配内容、股利分配理论、股票分割与股价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、业绩管理、责任中心与控制体系、绩效考核与业绩、</w:t>
      </w:r>
      <w:r w:rsidRPr="00EB513E">
        <w:rPr>
          <w:rFonts w:ascii="宋体" w:hAnsi="宋体"/>
          <w:szCs w:val="21"/>
        </w:rPr>
        <w:t>EVA</w:t>
      </w:r>
      <w:r w:rsidRPr="00EB513E">
        <w:rPr>
          <w:rFonts w:ascii="宋体" w:hAnsi="宋体" w:hint="eastAsia"/>
          <w:szCs w:val="21"/>
        </w:rPr>
        <w:t>与企业价值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lastRenderedPageBreak/>
        <w:t>4</w:t>
      </w:r>
      <w:r w:rsidRPr="00EB513E">
        <w:rPr>
          <w:rFonts w:ascii="宋体" w:hAnsi="宋体" w:hint="eastAsia"/>
          <w:szCs w:val="21"/>
        </w:rPr>
        <w:t>、财务困境与并购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5</w:t>
      </w:r>
      <w:r w:rsidRPr="00EB513E">
        <w:rPr>
          <w:rFonts w:ascii="宋体" w:hAnsi="宋体" w:hint="eastAsia"/>
          <w:szCs w:val="21"/>
        </w:rPr>
        <w:t>、跨国公司财务、产品和金融市场的全球化、跨国投资与国际筹资、跨国营运资本管理、汇率风险管理</w:t>
      </w:r>
      <w:r w:rsidRPr="00EB513E">
        <w:rPr>
          <w:rFonts w:ascii="宋体" w:hAnsi="宋体"/>
          <w:szCs w:val="21"/>
        </w:rPr>
        <w:t>.</w:t>
      </w:r>
    </w:p>
    <w:sectPr w:rsidR="00DE605F" w:rsidRPr="00EB513E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425" w:rsidRDefault="00C43425" w:rsidP="004F0789">
      <w:r>
        <w:separator/>
      </w:r>
    </w:p>
  </w:endnote>
  <w:endnote w:type="continuationSeparator" w:id="0">
    <w:p w:rsidR="00C43425" w:rsidRDefault="00C43425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425" w:rsidRDefault="00C43425" w:rsidP="004F0789">
      <w:r>
        <w:separator/>
      </w:r>
    </w:p>
  </w:footnote>
  <w:footnote w:type="continuationSeparator" w:id="0">
    <w:p w:rsidR="00C43425" w:rsidRDefault="00C43425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6256"/>
    <w:multiLevelType w:val="hybridMultilevel"/>
    <w:tmpl w:val="AFF4A7C6"/>
    <w:lvl w:ilvl="0" w:tplc="039CD09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1CF71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F0320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30B6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1E68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C4201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4404B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5E5C2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7213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F650D"/>
    <w:multiLevelType w:val="hybridMultilevel"/>
    <w:tmpl w:val="D6FC128E"/>
    <w:lvl w:ilvl="0" w:tplc="36060018">
      <w:start w:val="4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1AC0A4B"/>
    <w:multiLevelType w:val="hybridMultilevel"/>
    <w:tmpl w:val="646849C6"/>
    <w:lvl w:ilvl="0" w:tplc="BD5872B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3634B40"/>
    <w:multiLevelType w:val="hybridMultilevel"/>
    <w:tmpl w:val="13805D7E"/>
    <w:lvl w:ilvl="0" w:tplc="3D5EA5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42DAF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D0CC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5257D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70F98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AA41E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921E2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0E964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6C737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E0C7D"/>
    <w:multiLevelType w:val="hybridMultilevel"/>
    <w:tmpl w:val="E9CA97D0"/>
    <w:lvl w:ilvl="0" w:tplc="3CCE0A9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78606A8"/>
    <w:multiLevelType w:val="hybridMultilevel"/>
    <w:tmpl w:val="D29084BA"/>
    <w:lvl w:ilvl="0" w:tplc="0D34CE1E">
      <w:start w:val="4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B93391E"/>
    <w:multiLevelType w:val="hybridMultilevel"/>
    <w:tmpl w:val="C0E6D024"/>
    <w:lvl w:ilvl="0" w:tplc="C5E444E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55C099A"/>
    <w:multiLevelType w:val="hybridMultilevel"/>
    <w:tmpl w:val="16E258D8"/>
    <w:lvl w:ilvl="0" w:tplc="66DEB2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2E2AFE"/>
    <w:multiLevelType w:val="hybridMultilevel"/>
    <w:tmpl w:val="FC247C42"/>
    <w:lvl w:ilvl="0" w:tplc="8E2EEEC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1866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0E4FA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C49A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0E4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4045A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3626C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1AD47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8C95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35DF5"/>
    <w:rsid w:val="00084065"/>
    <w:rsid w:val="000E51E0"/>
    <w:rsid w:val="00103841"/>
    <w:rsid w:val="00151405"/>
    <w:rsid w:val="00151B6C"/>
    <w:rsid w:val="001A029B"/>
    <w:rsid w:val="001A2E7F"/>
    <w:rsid w:val="001A33F8"/>
    <w:rsid w:val="00202B0E"/>
    <w:rsid w:val="00245E19"/>
    <w:rsid w:val="002953F4"/>
    <w:rsid w:val="002F68C8"/>
    <w:rsid w:val="0030486D"/>
    <w:rsid w:val="00304BCD"/>
    <w:rsid w:val="00307507"/>
    <w:rsid w:val="00334540"/>
    <w:rsid w:val="0034447B"/>
    <w:rsid w:val="0035275E"/>
    <w:rsid w:val="00391D07"/>
    <w:rsid w:val="0039499C"/>
    <w:rsid w:val="003B0E7D"/>
    <w:rsid w:val="00451042"/>
    <w:rsid w:val="004B05FE"/>
    <w:rsid w:val="004D1D0F"/>
    <w:rsid w:val="004F0789"/>
    <w:rsid w:val="004F46E7"/>
    <w:rsid w:val="004F6C0B"/>
    <w:rsid w:val="005710AE"/>
    <w:rsid w:val="005B24FD"/>
    <w:rsid w:val="005D0860"/>
    <w:rsid w:val="005F20CB"/>
    <w:rsid w:val="006D2509"/>
    <w:rsid w:val="006E119E"/>
    <w:rsid w:val="0070713F"/>
    <w:rsid w:val="0073490F"/>
    <w:rsid w:val="00774DC2"/>
    <w:rsid w:val="0079559F"/>
    <w:rsid w:val="008054BD"/>
    <w:rsid w:val="008332FA"/>
    <w:rsid w:val="00896868"/>
    <w:rsid w:val="008D781D"/>
    <w:rsid w:val="00902D8D"/>
    <w:rsid w:val="009100DE"/>
    <w:rsid w:val="00933695"/>
    <w:rsid w:val="00972587"/>
    <w:rsid w:val="009C0220"/>
    <w:rsid w:val="00A2652C"/>
    <w:rsid w:val="00A67302"/>
    <w:rsid w:val="00A86A4E"/>
    <w:rsid w:val="00B05D1F"/>
    <w:rsid w:val="00BF1D01"/>
    <w:rsid w:val="00C43425"/>
    <w:rsid w:val="00C967A3"/>
    <w:rsid w:val="00CD30EE"/>
    <w:rsid w:val="00CE0A87"/>
    <w:rsid w:val="00D24047"/>
    <w:rsid w:val="00D306F9"/>
    <w:rsid w:val="00D36D6E"/>
    <w:rsid w:val="00D478AA"/>
    <w:rsid w:val="00DA2364"/>
    <w:rsid w:val="00DB27C5"/>
    <w:rsid w:val="00DD5DAD"/>
    <w:rsid w:val="00DD6D82"/>
    <w:rsid w:val="00DE605F"/>
    <w:rsid w:val="00E03AD3"/>
    <w:rsid w:val="00E32FEA"/>
    <w:rsid w:val="00EB0E07"/>
    <w:rsid w:val="00EB513E"/>
    <w:rsid w:val="00EC069D"/>
    <w:rsid w:val="00F7532F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locked="1" w:uiPriority="0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E51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0E51E0"/>
    <w:pPr>
      <w:keepNext/>
      <w:keepLines/>
      <w:spacing w:before="260" w:after="260" w:line="416" w:lineRule="auto"/>
      <w:jc w:val="center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0E51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0E51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0E51E0"/>
    <w:pPr>
      <w:keepNext/>
      <w:keepLines/>
      <w:spacing w:beforeLines="50" w:afterLines="50" w:line="300" w:lineRule="auto"/>
      <w:ind w:firstLineChars="200" w:firstLine="200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0E51E0"/>
    <w:pPr>
      <w:keepNext/>
      <w:keepLines/>
      <w:spacing w:beforeLines="50" w:afterLines="50" w:line="360" w:lineRule="auto"/>
      <w:ind w:firstLineChars="200" w:firstLine="200"/>
      <w:outlineLvl w:val="5"/>
    </w:pPr>
    <w:rPr>
      <w:rFonts w:ascii="Cambria" w:hAnsi="Cambria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0E51E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0E51E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9"/>
    <w:locked/>
    <w:rsid w:val="000E51E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4"/>
    <w:uiPriority w:val="99"/>
    <w:locked/>
    <w:rsid w:val="000E51E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5"/>
    <w:uiPriority w:val="99"/>
    <w:locked/>
    <w:rsid w:val="000E51E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6"/>
    <w:uiPriority w:val="99"/>
    <w:locked/>
    <w:rsid w:val="000E51E0"/>
    <w:rPr>
      <w:rFonts w:ascii="Cambria" w:eastAsia="宋体" w:hAnsi="Cambria" w:cs="Times New Roman"/>
      <w:b/>
      <w:bCs/>
      <w:sz w:val="24"/>
      <w:szCs w:val="24"/>
    </w:rPr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  <w:style w:type="table" w:styleId="a7">
    <w:name w:val="Table Grid"/>
    <w:basedOn w:val="a1"/>
    <w:uiPriority w:val="99"/>
    <w:rsid w:val="000E51E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uiPriority w:val="99"/>
    <w:semiHidden/>
    <w:rsid w:val="000E51E0"/>
    <w:rPr>
      <w:rFonts w:cs="Times New Roman"/>
      <w:sz w:val="21"/>
      <w:szCs w:val="21"/>
    </w:rPr>
  </w:style>
  <w:style w:type="paragraph" w:styleId="a9">
    <w:name w:val="annotation text"/>
    <w:basedOn w:val="a"/>
    <w:link w:val="Char1"/>
    <w:uiPriority w:val="99"/>
    <w:semiHidden/>
    <w:rsid w:val="000E51E0"/>
    <w:pPr>
      <w:jc w:val="left"/>
    </w:pPr>
  </w:style>
  <w:style w:type="character" w:customStyle="1" w:styleId="Char1">
    <w:name w:val="批注文字 Char"/>
    <w:link w:val="a9"/>
    <w:uiPriority w:val="99"/>
    <w:semiHidden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styleId="aa">
    <w:name w:val="annotation subject"/>
    <w:basedOn w:val="a9"/>
    <w:next w:val="a9"/>
    <w:link w:val="Char2"/>
    <w:uiPriority w:val="99"/>
    <w:semiHidden/>
    <w:rsid w:val="000E51E0"/>
    <w:rPr>
      <w:b/>
      <w:bCs/>
    </w:rPr>
  </w:style>
  <w:style w:type="character" w:customStyle="1" w:styleId="Char2">
    <w:name w:val="批注主题 Char"/>
    <w:link w:val="aa"/>
    <w:uiPriority w:val="99"/>
    <w:semiHidden/>
    <w:locked/>
    <w:rsid w:val="000E51E0"/>
    <w:rPr>
      <w:rFonts w:ascii="Times New Roman" w:eastAsia="宋体" w:hAnsi="Times New Roman" w:cs="Times New Roman"/>
      <w:b/>
      <w:bCs/>
      <w:sz w:val="24"/>
      <w:szCs w:val="24"/>
    </w:rPr>
  </w:style>
  <w:style w:type="paragraph" w:styleId="ab">
    <w:name w:val="Balloon Text"/>
    <w:basedOn w:val="a"/>
    <w:link w:val="Char3"/>
    <w:uiPriority w:val="99"/>
    <w:semiHidden/>
    <w:rsid w:val="000E51E0"/>
    <w:rPr>
      <w:sz w:val="18"/>
      <w:szCs w:val="18"/>
    </w:rPr>
  </w:style>
  <w:style w:type="character" w:customStyle="1" w:styleId="Char3">
    <w:name w:val="批注框文本 Char"/>
    <w:link w:val="ab"/>
    <w:uiPriority w:val="99"/>
    <w:semiHidden/>
    <w:locked/>
    <w:rsid w:val="000E51E0"/>
    <w:rPr>
      <w:rFonts w:ascii="Times New Roman" w:eastAsia="宋体" w:hAnsi="Times New Roman" w:cs="Times New Roman"/>
      <w:sz w:val="18"/>
      <w:szCs w:val="18"/>
    </w:rPr>
  </w:style>
  <w:style w:type="paragraph" w:styleId="ac">
    <w:name w:val="Normal (Web)"/>
    <w:basedOn w:val="a"/>
    <w:uiPriority w:val="99"/>
    <w:rsid w:val="000E51E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d">
    <w:name w:val="Document Map"/>
    <w:basedOn w:val="a"/>
    <w:link w:val="Char4"/>
    <w:uiPriority w:val="99"/>
    <w:semiHidden/>
    <w:rsid w:val="000E51E0"/>
    <w:pPr>
      <w:shd w:val="clear" w:color="auto" w:fill="000080"/>
    </w:pPr>
  </w:style>
  <w:style w:type="character" w:customStyle="1" w:styleId="Char4">
    <w:name w:val="文档结构图 Char"/>
    <w:link w:val="ad"/>
    <w:uiPriority w:val="99"/>
    <w:semiHidden/>
    <w:locked/>
    <w:rsid w:val="000E51E0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paragraph" w:styleId="20">
    <w:name w:val="toc 2"/>
    <w:basedOn w:val="a"/>
    <w:next w:val="a"/>
    <w:autoRedefine/>
    <w:uiPriority w:val="99"/>
    <w:rsid w:val="000E51E0"/>
    <w:pPr>
      <w:ind w:leftChars="200" w:left="420"/>
    </w:pPr>
  </w:style>
  <w:style w:type="character" w:styleId="ae">
    <w:name w:val="Hyperlink"/>
    <w:uiPriority w:val="99"/>
    <w:rsid w:val="000E51E0"/>
    <w:rPr>
      <w:rFonts w:cs="Times New Roman"/>
      <w:color w:val="0000FF"/>
      <w:u w:val="single"/>
    </w:rPr>
  </w:style>
  <w:style w:type="paragraph" w:styleId="10">
    <w:name w:val="toc 1"/>
    <w:basedOn w:val="a"/>
    <w:next w:val="a"/>
    <w:autoRedefine/>
    <w:uiPriority w:val="99"/>
    <w:rsid w:val="000E51E0"/>
    <w:pPr>
      <w:tabs>
        <w:tab w:val="left" w:pos="840"/>
        <w:tab w:val="right" w:leader="dot" w:pos="8296"/>
      </w:tabs>
    </w:pPr>
  </w:style>
  <w:style w:type="paragraph" w:styleId="30">
    <w:name w:val="toc 3"/>
    <w:basedOn w:val="a"/>
    <w:next w:val="a"/>
    <w:autoRedefine/>
    <w:uiPriority w:val="99"/>
    <w:rsid w:val="000E51E0"/>
    <w:pPr>
      <w:ind w:leftChars="400" w:left="840"/>
    </w:pPr>
  </w:style>
  <w:style w:type="paragraph" w:styleId="TOC">
    <w:name w:val="TOC Heading"/>
    <w:basedOn w:val="1"/>
    <w:next w:val="a"/>
    <w:uiPriority w:val="99"/>
    <w:qFormat/>
    <w:rsid w:val="000E51E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">
    <w:name w:val="Revision"/>
    <w:hidden/>
    <w:uiPriority w:val="99"/>
    <w:semiHidden/>
    <w:rsid w:val="000E51E0"/>
    <w:rPr>
      <w:rFonts w:ascii="Times New Roman" w:hAnsi="Times New Roman"/>
      <w:kern w:val="2"/>
      <w:sz w:val="21"/>
      <w:szCs w:val="24"/>
    </w:rPr>
  </w:style>
  <w:style w:type="paragraph" w:styleId="HTML">
    <w:name w:val="HTML Preformatted"/>
    <w:basedOn w:val="a"/>
    <w:link w:val="HTMLChar"/>
    <w:uiPriority w:val="99"/>
    <w:rsid w:val="000E51E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0E51E0"/>
    <w:rPr>
      <w:rFonts w:ascii="宋体" w:eastAsia="宋体" w:hAnsi="宋体" w:cs="宋体"/>
      <w:kern w:val="0"/>
      <w:sz w:val="24"/>
      <w:szCs w:val="24"/>
    </w:rPr>
  </w:style>
  <w:style w:type="paragraph" w:styleId="31">
    <w:name w:val="Body Text Indent 3"/>
    <w:basedOn w:val="a"/>
    <w:link w:val="3Char0"/>
    <w:uiPriority w:val="99"/>
    <w:rsid w:val="000E51E0"/>
    <w:pPr>
      <w:spacing w:line="360" w:lineRule="auto"/>
      <w:ind w:firstLine="482"/>
    </w:pPr>
    <w:rPr>
      <w:color w:val="000080"/>
    </w:rPr>
  </w:style>
  <w:style w:type="character" w:customStyle="1" w:styleId="3Char0">
    <w:name w:val="正文文本缩进 3 Char"/>
    <w:link w:val="31"/>
    <w:uiPriority w:val="99"/>
    <w:locked/>
    <w:rsid w:val="000E51E0"/>
    <w:rPr>
      <w:rFonts w:ascii="Times New Roman" w:eastAsia="宋体" w:hAnsi="Times New Roman" w:cs="Times New Roman"/>
      <w:color w:val="000080"/>
      <w:sz w:val="24"/>
      <w:szCs w:val="24"/>
    </w:rPr>
  </w:style>
  <w:style w:type="character" w:customStyle="1" w:styleId="big1">
    <w:name w:val="big1"/>
    <w:uiPriority w:val="99"/>
    <w:rsid w:val="000E51E0"/>
    <w:rPr>
      <w:rFonts w:ascii="宋体" w:eastAsia="宋体" w:hAnsi="宋体" w:cs="Times New Roman"/>
      <w:sz w:val="22"/>
      <w:szCs w:val="22"/>
    </w:rPr>
  </w:style>
  <w:style w:type="paragraph" w:styleId="af0">
    <w:name w:val="Body Text Indent"/>
    <w:basedOn w:val="a"/>
    <w:link w:val="Char5"/>
    <w:uiPriority w:val="99"/>
    <w:rsid w:val="000E51E0"/>
    <w:pPr>
      <w:ind w:firstLineChars="407" w:firstLine="855"/>
    </w:pPr>
  </w:style>
  <w:style w:type="character" w:customStyle="1" w:styleId="Char5">
    <w:name w:val="正文文本缩进 Char"/>
    <w:link w:val="af0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styleId="21">
    <w:name w:val="Body Text Indent 2"/>
    <w:basedOn w:val="a"/>
    <w:link w:val="2Char0"/>
    <w:uiPriority w:val="99"/>
    <w:rsid w:val="000E51E0"/>
    <w:pPr>
      <w:ind w:firstLineChars="207" w:firstLine="435"/>
    </w:pPr>
  </w:style>
  <w:style w:type="character" w:customStyle="1" w:styleId="2Char0">
    <w:name w:val="正文文本缩进 2 Char"/>
    <w:link w:val="21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styleId="af1">
    <w:name w:val="No Spacing"/>
    <w:uiPriority w:val="99"/>
    <w:qFormat/>
    <w:rsid w:val="000E51E0"/>
    <w:pPr>
      <w:widowControl w:val="0"/>
      <w:jc w:val="both"/>
    </w:pPr>
    <w:rPr>
      <w:kern w:val="2"/>
      <w:sz w:val="21"/>
      <w:szCs w:val="22"/>
    </w:rPr>
  </w:style>
  <w:style w:type="character" w:styleId="af2">
    <w:name w:val="page number"/>
    <w:uiPriority w:val="99"/>
    <w:rsid w:val="000E51E0"/>
    <w:rPr>
      <w:rFonts w:cs="Times New Roman"/>
    </w:rPr>
  </w:style>
  <w:style w:type="paragraph" w:styleId="af3">
    <w:name w:val="footnote text"/>
    <w:basedOn w:val="a"/>
    <w:link w:val="Char6"/>
    <w:uiPriority w:val="99"/>
    <w:semiHidden/>
    <w:rsid w:val="000E51E0"/>
    <w:pPr>
      <w:snapToGrid w:val="0"/>
      <w:jc w:val="left"/>
    </w:pPr>
    <w:rPr>
      <w:sz w:val="18"/>
      <w:szCs w:val="18"/>
    </w:rPr>
  </w:style>
  <w:style w:type="character" w:customStyle="1" w:styleId="Char6">
    <w:name w:val="脚注文本 Char"/>
    <w:link w:val="af3"/>
    <w:uiPriority w:val="99"/>
    <w:semiHidden/>
    <w:locked/>
    <w:rsid w:val="000E51E0"/>
    <w:rPr>
      <w:rFonts w:ascii="Times New Roman" w:eastAsia="宋体" w:hAnsi="Times New Roman" w:cs="Times New Roman"/>
      <w:sz w:val="18"/>
      <w:szCs w:val="18"/>
    </w:rPr>
  </w:style>
  <w:style w:type="character" w:styleId="af4">
    <w:name w:val="footnote reference"/>
    <w:uiPriority w:val="99"/>
    <w:semiHidden/>
    <w:rsid w:val="000E51E0"/>
    <w:rPr>
      <w:rFonts w:cs="Times New Roman"/>
      <w:vertAlign w:val="superscript"/>
    </w:rPr>
  </w:style>
  <w:style w:type="character" w:customStyle="1" w:styleId="texts1">
    <w:name w:val="texts1"/>
    <w:uiPriority w:val="99"/>
    <w:rsid w:val="000E51E0"/>
    <w:rPr>
      <w:rFonts w:cs="Times New Roman"/>
    </w:rPr>
  </w:style>
  <w:style w:type="paragraph" w:styleId="af5">
    <w:name w:val="Plain Text"/>
    <w:basedOn w:val="a"/>
    <w:link w:val="Char7"/>
    <w:uiPriority w:val="99"/>
    <w:rsid w:val="000E51E0"/>
    <w:rPr>
      <w:rFonts w:ascii="宋体" w:hAnsi="Courier New"/>
      <w:szCs w:val="20"/>
    </w:rPr>
  </w:style>
  <w:style w:type="character" w:customStyle="1" w:styleId="Char7">
    <w:name w:val="纯文本 Char"/>
    <w:link w:val="af5"/>
    <w:uiPriority w:val="99"/>
    <w:locked/>
    <w:rsid w:val="000E51E0"/>
    <w:rPr>
      <w:rFonts w:ascii="宋体" w:eastAsia="宋体" w:hAnsi="Courier New" w:cs="Times New Roman"/>
      <w:sz w:val="20"/>
      <w:szCs w:val="20"/>
    </w:rPr>
  </w:style>
  <w:style w:type="paragraph" w:customStyle="1" w:styleId="af6">
    <w:name w:val="纯文本 + (符号) 宋体"/>
    <w:aliases w:val="左,首行缩进:  2 字符,正文 + 宋体"/>
    <w:basedOn w:val="HTML"/>
    <w:link w:val="Char8"/>
    <w:uiPriority w:val="99"/>
    <w:rsid w:val="000E51E0"/>
    <w:pPr>
      <w:ind w:firstLineChars="200" w:firstLine="420"/>
    </w:pPr>
    <w:rPr>
      <w:rFonts w:cs="Times New Roman"/>
      <w:kern w:val="2"/>
      <w:sz w:val="21"/>
      <w:szCs w:val="20"/>
    </w:rPr>
  </w:style>
  <w:style w:type="character" w:customStyle="1" w:styleId="Char8">
    <w:name w:val="纯文本 + (符号) 宋体 Char"/>
    <w:aliases w:val="左 Char,首行缩进:  2 字符 Char"/>
    <w:link w:val="af6"/>
    <w:uiPriority w:val="99"/>
    <w:locked/>
    <w:rsid w:val="000E51E0"/>
    <w:rPr>
      <w:rFonts w:ascii="宋体" w:eastAsia="宋体" w:hAnsi="宋体" w:cs="Times New Roman"/>
      <w:kern w:val="0"/>
      <w:sz w:val="20"/>
      <w:szCs w:val="20"/>
    </w:rPr>
  </w:style>
  <w:style w:type="paragraph" w:styleId="af7">
    <w:name w:val="endnote text"/>
    <w:basedOn w:val="a"/>
    <w:link w:val="Char9"/>
    <w:uiPriority w:val="99"/>
    <w:rsid w:val="000E51E0"/>
    <w:pPr>
      <w:snapToGrid w:val="0"/>
      <w:jc w:val="left"/>
    </w:pPr>
  </w:style>
  <w:style w:type="character" w:customStyle="1" w:styleId="Char9">
    <w:name w:val="尾注文本 Char"/>
    <w:link w:val="af7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character" w:styleId="af8">
    <w:name w:val="endnote reference"/>
    <w:uiPriority w:val="99"/>
    <w:rsid w:val="000E51E0"/>
    <w:rPr>
      <w:rFonts w:cs="Times New Roman"/>
      <w:vertAlign w:val="superscript"/>
    </w:rPr>
  </w:style>
  <w:style w:type="character" w:styleId="af9">
    <w:name w:val="FollowedHyperlink"/>
    <w:uiPriority w:val="99"/>
    <w:rsid w:val="000E51E0"/>
    <w:rPr>
      <w:rFonts w:cs="Times New Roman"/>
      <w:color w:val="800080"/>
      <w:u w:val="single"/>
    </w:rPr>
  </w:style>
  <w:style w:type="paragraph" w:styleId="afa">
    <w:name w:val="Body Text"/>
    <w:basedOn w:val="a"/>
    <w:link w:val="Chara"/>
    <w:uiPriority w:val="99"/>
    <w:rsid w:val="000E51E0"/>
    <w:pPr>
      <w:widowControl/>
      <w:spacing w:line="300" w:lineRule="auto"/>
      <w:jc w:val="left"/>
    </w:pPr>
    <w:rPr>
      <w:rFonts w:ascii="宋体" w:hAnsi="宋体"/>
      <w:kern w:val="0"/>
      <w:sz w:val="24"/>
    </w:rPr>
  </w:style>
  <w:style w:type="character" w:customStyle="1" w:styleId="Chara">
    <w:name w:val="正文文本 Char"/>
    <w:link w:val="afa"/>
    <w:uiPriority w:val="99"/>
    <w:locked/>
    <w:rsid w:val="000E51E0"/>
    <w:rPr>
      <w:rFonts w:ascii="宋体" w:eastAsia="宋体" w:hAnsi="宋体" w:cs="Times New Roman"/>
      <w:kern w:val="0"/>
      <w:sz w:val="24"/>
      <w:szCs w:val="24"/>
    </w:rPr>
  </w:style>
  <w:style w:type="paragraph" w:customStyle="1" w:styleId="a00">
    <w:name w:val="a0"/>
    <w:basedOn w:val="a"/>
    <w:uiPriority w:val="99"/>
    <w:rsid w:val="000E51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b">
    <w:name w:val="Date"/>
    <w:basedOn w:val="a"/>
    <w:next w:val="a"/>
    <w:link w:val="Charb"/>
    <w:uiPriority w:val="99"/>
    <w:rsid w:val="000E51E0"/>
    <w:pPr>
      <w:ind w:leftChars="2500" w:left="100"/>
    </w:pPr>
  </w:style>
  <w:style w:type="character" w:customStyle="1" w:styleId="Charb">
    <w:name w:val="日期 Char"/>
    <w:link w:val="afb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customStyle="1" w:styleId="15">
    <w:name w:val="15"/>
    <w:basedOn w:val="a"/>
    <w:uiPriority w:val="99"/>
    <w:rsid w:val="000E51E0"/>
    <w:pPr>
      <w:widowControl/>
      <w:jc w:val="left"/>
    </w:pPr>
    <w:rPr>
      <w:rFonts w:ascii="宋体" w:hAnsi="宋体" w:cs="宋体"/>
      <w:kern w:val="0"/>
      <w:sz w:val="24"/>
    </w:rPr>
  </w:style>
  <w:style w:type="character" w:styleId="afc">
    <w:name w:val="Strong"/>
    <w:uiPriority w:val="99"/>
    <w:qFormat/>
    <w:rsid w:val="000E51E0"/>
    <w:rPr>
      <w:rFonts w:cs="Times New Roman"/>
      <w:b/>
      <w:bCs/>
    </w:rPr>
  </w:style>
  <w:style w:type="paragraph" w:styleId="afd">
    <w:name w:val="Block Text"/>
    <w:basedOn w:val="a"/>
    <w:uiPriority w:val="99"/>
    <w:rsid w:val="000E51E0"/>
    <w:pPr>
      <w:spacing w:line="300" w:lineRule="auto"/>
      <w:ind w:leftChars="200" w:left="420" w:rightChars="160" w:right="336" w:firstLineChars="100" w:firstLine="280"/>
    </w:pPr>
    <w:rPr>
      <w:sz w:val="28"/>
    </w:rPr>
  </w:style>
  <w:style w:type="table" w:customStyle="1" w:styleId="Calendar1">
    <w:name w:val="Calendar 1"/>
    <w:uiPriority w:val="99"/>
    <w:rsid w:val="000E51E0"/>
    <w:rPr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Emphasis"/>
    <w:uiPriority w:val="99"/>
    <w:qFormat/>
    <w:rsid w:val="000E51E0"/>
    <w:rPr>
      <w:rFonts w:cs="Times New Roman"/>
      <w:i/>
      <w:iCs/>
    </w:rPr>
  </w:style>
  <w:style w:type="character" w:styleId="aff">
    <w:name w:val="Intense Emphasis"/>
    <w:uiPriority w:val="99"/>
    <w:qFormat/>
    <w:rsid w:val="000E51E0"/>
    <w:rPr>
      <w:rFonts w:cs="Times New Roman"/>
      <w:b/>
      <w:bCs/>
      <w:i/>
      <w:iCs/>
      <w:color w:val="4F81BD"/>
    </w:rPr>
  </w:style>
  <w:style w:type="character" w:styleId="aff0">
    <w:name w:val="Subtle Emphasis"/>
    <w:uiPriority w:val="99"/>
    <w:qFormat/>
    <w:rsid w:val="000E51E0"/>
    <w:rPr>
      <w:rFonts w:cs="Times New Roman"/>
      <w:i/>
      <w:iCs/>
      <w:color w:val="808080"/>
    </w:rPr>
  </w:style>
  <w:style w:type="paragraph" w:styleId="aff1">
    <w:name w:val="Subtitle"/>
    <w:basedOn w:val="a"/>
    <w:next w:val="a"/>
    <w:link w:val="Charc"/>
    <w:uiPriority w:val="99"/>
    <w:qFormat/>
    <w:rsid w:val="000E51E0"/>
    <w:pPr>
      <w:spacing w:beforeLines="50" w:afterLines="50" w:line="360" w:lineRule="auto"/>
      <w:ind w:firstLineChars="200" w:firstLine="200"/>
      <w:jc w:val="left"/>
      <w:outlineLvl w:val="1"/>
    </w:pPr>
    <w:rPr>
      <w:rFonts w:ascii="Cambria" w:hAnsi="Cambria"/>
      <w:b/>
      <w:bCs/>
      <w:kern w:val="28"/>
      <w:szCs w:val="32"/>
    </w:rPr>
  </w:style>
  <w:style w:type="character" w:customStyle="1" w:styleId="Charc">
    <w:name w:val="副标题 Char"/>
    <w:link w:val="aff1"/>
    <w:uiPriority w:val="99"/>
    <w:locked/>
    <w:rsid w:val="000E51E0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40">
    <w:name w:val="toc 4"/>
    <w:basedOn w:val="a"/>
    <w:next w:val="a"/>
    <w:autoRedefine/>
    <w:uiPriority w:val="99"/>
    <w:rsid w:val="000E51E0"/>
    <w:pPr>
      <w:ind w:leftChars="600" w:left="1260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99"/>
    <w:rsid w:val="000E51E0"/>
    <w:pPr>
      <w:ind w:leftChars="800" w:left="168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99"/>
    <w:rsid w:val="000E51E0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99"/>
    <w:rsid w:val="000E51E0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99"/>
    <w:rsid w:val="000E51E0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99"/>
    <w:rsid w:val="000E51E0"/>
    <w:pPr>
      <w:ind w:leftChars="1600" w:left="3360"/>
    </w:pPr>
    <w:rPr>
      <w:rFonts w:ascii="Calibri" w:hAnsi="Calibri"/>
      <w:szCs w:val="22"/>
    </w:rPr>
  </w:style>
  <w:style w:type="paragraph" w:customStyle="1" w:styleId="aff2">
    <w:name w:val="；"/>
    <w:basedOn w:val="a"/>
    <w:uiPriority w:val="99"/>
    <w:rsid w:val="000E51E0"/>
    <w:pPr>
      <w:tabs>
        <w:tab w:val="left" w:pos="1160"/>
        <w:tab w:val="left" w:pos="2364"/>
        <w:tab w:val="left" w:pos="2400"/>
        <w:tab w:val="left" w:pos="3024"/>
        <w:tab w:val="center" w:pos="4153"/>
        <w:tab w:val="left" w:pos="4320"/>
        <w:tab w:val="left" w:pos="5040"/>
        <w:tab w:val="left" w:pos="5733"/>
      </w:tabs>
      <w:ind w:firstLineChars="98" w:firstLine="315"/>
      <w:jc w:val="center"/>
    </w:pPr>
    <w:rPr>
      <w:rFonts w:eastAsia="黑体"/>
      <w:b/>
      <w:bCs/>
      <w:sz w:val="32"/>
      <w:szCs w:val="32"/>
    </w:rPr>
  </w:style>
  <w:style w:type="character" w:customStyle="1" w:styleId="st13reda1">
    <w:name w:val="st13reda1"/>
    <w:uiPriority w:val="99"/>
    <w:rsid w:val="000E51E0"/>
    <w:rPr>
      <w:rFonts w:cs="Times New Roman"/>
      <w:color w:val="B02624"/>
      <w:sz w:val="20"/>
      <w:szCs w:val="20"/>
    </w:rPr>
  </w:style>
  <w:style w:type="character" w:customStyle="1" w:styleId="redstar1">
    <w:name w:val="redstar1"/>
    <w:uiPriority w:val="99"/>
    <w:rsid w:val="000E51E0"/>
    <w:rPr>
      <w:rFonts w:cs="Times New Roman"/>
      <w:color w:val="D4101E"/>
      <w:sz w:val="18"/>
      <w:szCs w:val="18"/>
    </w:rPr>
  </w:style>
  <w:style w:type="paragraph" w:customStyle="1" w:styleId="aff3">
    <w:name w:val="正文 + 首行缩进:"/>
    <w:basedOn w:val="a"/>
    <w:uiPriority w:val="99"/>
    <w:rsid w:val="000E51E0"/>
    <w:pPr>
      <w:ind w:firstLineChars="250" w:firstLine="525"/>
    </w:pPr>
  </w:style>
  <w:style w:type="paragraph" w:customStyle="1" w:styleId="22">
    <w:name w:val="正文 + 首行缩进:  2字符"/>
    <w:basedOn w:val="a"/>
    <w:link w:val="2Char1"/>
    <w:uiPriority w:val="99"/>
    <w:rsid w:val="000E51E0"/>
    <w:pPr>
      <w:ind w:firstLineChars="207" w:firstLine="435"/>
    </w:pPr>
  </w:style>
  <w:style w:type="character" w:customStyle="1" w:styleId="2Char1">
    <w:name w:val="正文 + 首行缩进:  2字符 Char"/>
    <w:link w:val="22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customStyle="1" w:styleId="chard">
    <w:name w:val="char"/>
    <w:basedOn w:val="a"/>
    <w:autoRedefine/>
    <w:uiPriority w:val="99"/>
    <w:rsid w:val="000E51E0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styleId="aff4">
    <w:name w:val="Title"/>
    <w:basedOn w:val="a"/>
    <w:next w:val="a"/>
    <w:link w:val="Chare"/>
    <w:uiPriority w:val="99"/>
    <w:qFormat/>
    <w:rsid w:val="000E51E0"/>
    <w:pPr>
      <w:spacing w:beforeLines="50" w:afterLines="50" w:line="300" w:lineRule="auto"/>
      <w:ind w:firstLineChars="200" w:firstLine="422"/>
      <w:outlineLvl w:val="3"/>
    </w:pPr>
    <w:rPr>
      <w:b/>
      <w:bCs/>
      <w:szCs w:val="32"/>
    </w:rPr>
  </w:style>
  <w:style w:type="character" w:customStyle="1" w:styleId="Chare">
    <w:name w:val="标题 Char"/>
    <w:link w:val="aff4"/>
    <w:uiPriority w:val="99"/>
    <w:locked/>
    <w:rsid w:val="000E51E0"/>
    <w:rPr>
      <w:rFonts w:ascii="Times New Roman" w:eastAsia="宋体" w:hAnsi="Times New Roman" w:cs="Times New Roman"/>
      <w:b/>
      <w:bCs/>
      <w:sz w:val="32"/>
      <w:szCs w:val="32"/>
    </w:rPr>
  </w:style>
  <w:style w:type="table" w:customStyle="1" w:styleId="LightShading-Accent11">
    <w:name w:val="Light Shading - Accent 11"/>
    <w:uiPriority w:val="99"/>
    <w:rsid w:val="000E51E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9">
    <w:name w:val="t9"/>
    <w:uiPriority w:val="99"/>
    <w:rsid w:val="000E51E0"/>
    <w:rPr>
      <w:rFonts w:cs="Times New Roman"/>
    </w:rPr>
  </w:style>
  <w:style w:type="character" w:customStyle="1" w:styleId="msonormal0">
    <w:name w:val="msonormal"/>
    <w:uiPriority w:val="99"/>
    <w:rsid w:val="000E51E0"/>
    <w:rPr>
      <w:rFonts w:cs="Times New Roman"/>
    </w:rPr>
  </w:style>
  <w:style w:type="character" w:customStyle="1" w:styleId="shorttext1">
    <w:name w:val="short_text1"/>
    <w:uiPriority w:val="99"/>
    <w:rsid w:val="000E51E0"/>
    <w:rPr>
      <w:rFonts w:cs="Times New Roman"/>
      <w:sz w:val="29"/>
      <w:szCs w:val="29"/>
    </w:rPr>
  </w:style>
  <w:style w:type="character" w:customStyle="1" w:styleId="searchcontent1">
    <w:name w:val="search_content1"/>
    <w:uiPriority w:val="99"/>
    <w:rsid w:val="000E51E0"/>
    <w:rPr>
      <w:rFonts w:cs="Times New Roman"/>
      <w:sz w:val="20"/>
      <w:szCs w:val="20"/>
    </w:rPr>
  </w:style>
  <w:style w:type="character" w:customStyle="1" w:styleId="biaotilink1">
    <w:name w:val="biaotilink1"/>
    <w:uiPriority w:val="99"/>
    <w:rsid w:val="000E51E0"/>
    <w:rPr>
      <w:rFonts w:cs="Times New Roman"/>
      <w:color w:val="0066FF"/>
      <w:spacing w:val="330"/>
      <w:sz w:val="21"/>
      <w:szCs w:val="21"/>
    </w:rPr>
  </w:style>
  <w:style w:type="character" w:customStyle="1" w:styleId="mainfont1">
    <w:name w:val="mainfont1"/>
    <w:uiPriority w:val="99"/>
    <w:rsid w:val="000E51E0"/>
    <w:rPr>
      <w:rFonts w:cs="Times New Roman"/>
      <w:spacing w:val="330"/>
      <w:sz w:val="21"/>
      <w:szCs w:val="21"/>
    </w:rPr>
  </w:style>
  <w:style w:type="character" w:styleId="HTML0">
    <w:name w:val="HTML Cite"/>
    <w:uiPriority w:val="99"/>
    <w:rsid w:val="000E51E0"/>
    <w:rPr>
      <w:rFonts w:cs="Times New Roman"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2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235</Words>
  <Characters>1341</Characters>
  <Application>Microsoft Office Word</Application>
  <DocSecurity>0</DocSecurity>
  <Lines>11</Lines>
  <Paragraphs>3</Paragraphs>
  <ScaleCrop>false</ScaleCrop>
  <Company>Microsoft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AutoBVT</cp:lastModifiedBy>
  <cp:revision>15</cp:revision>
  <dcterms:created xsi:type="dcterms:W3CDTF">2014-07-21T02:39:00Z</dcterms:created>
  <dcterms:modified xsi:type="dcterms:W3CDTF">2016-09-27T02:37:00Z</dcterms:modified>
</cp:coreProperties>
</file>