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2" w:leftChars="-1"/>
        <w:jc w:val="center"/>
        <w:rPr>
          <w:rFonts w:asciiTheme="majorEastAsia" w:hAnsiTheme="majorEastAsia" w:eastAsiaTheme="majorEastAsia"/>
          <w:b/>
          <w:bCs/>
          <w:sz w:val="28"/>
          <w:szCs w:val="28"/>
        </w:rPr>
      </w:pPr>
      <w:bookmarkStart w:id="0" w:name="_GoBack"/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大连理工大学2018年硕士研究生入学考试大纲</w:t>
      </w:r>
    </w:p>
    <w:p>
      <w:pPr>
        <w:jc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科目代码： 848           科目名称：船舶静力学</w:t>
      </w:r>
    </w:p>
    <w:p>
      <w:pPr>
        <w:spacing w:line="300" w:lineRule="auto"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 xml:space="preserve">   </w:t>
      </w:r>
    </w:p>
    <w:p>
      <w:pPr>
        <w:spacing w:line="300" w:lineRule="auto"/>
        <w:ind w:firstLine="562" w:firstLineChars="200"/>
        <w:jc w:val="left"/>
        <w:rPr>
          <w:rFonts w:hint="eastAsia"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题型：</w:t>
      </w:r>
    </w:p>
    <w:p>
      <w:pPr>
        <w:spacing w:line="300" w:lineRule="auto"/>
        <w:ind w:firstLine="560" w:firstLineChars="200"/>
        <w:jc w:val="left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试题分为5个题型，即填空题、简答题、论述题、证明题、计算题。</w:t>
      </w:r>
    </w:p>
    <w:p>
      <w:pPr>
        <w:spacing w:line="300" w:lineRule="auto"/>
        <w:ind w:firstLine="562" w:firstLineChars="200"/>
        <w:jc w:val="left"/>
        <w:rPr>
          <w:rFonts w:hint="eastAsia"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各题分值：</w:t>
      </w:r>
    </w:p>
    <w:p>
      <w:pPr>
        <w:spacing w:line="300" w:lineRule="auto"/>
        <w:ind w:firstLine="560" w:firstLineChars="200"/>
        <w:jc w:val="left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填空题20分（10道题）、简答题20分（5道题）、论述题50分（5道题）、证明题20分（2道题）、计算题40分（2道题）。</w:t>
      </w:r>
    </w:p>
    <w:p>
      <w:pPr>
        <w:spacing w:line="300" w:lineRule="auto"/>
        <w:ind w:firstLine="562" w:firstLineChars="200"/>
        <w:jc w:val="left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具体复习大纲如下：</w:t>
      </w:r>
    </w:p>
    <w:p>
      <w:pPr>
        <w:spacing w:line="300" w:lineRule="auto"/>
        <w:ind w:firstLine="420"/>
        <w:outlineLvl w:val="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一、船</w:t>
      </w:r>
      <w:r>
        <w:rPr>
          <w:rFonts w:hint="eastAsia" w:ascii="宋体"/>
          <w:b/>
          <w:sz w:val="28"/>
          <w:szCs w:val="28"/>
        </w:rPr>
        <w:t>体几何形状的表示方法</w:t>
      </w:r>
    </w:p>
    <w:p>
      <w:pPr>
        <w:spacing w:line="300" w:lineRule="auto"/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1、主尺度要素的定义</w:t>
      </w:r>
    </w:p>
    <w:p>
      <w:pPr>
        <w:spacing w:line="300" w:lineRule="auto"/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2、船形系数的定义</w:t>
      </w:r>
    </w:p>
    <w:p>
      <w:pPr>
        <w:spacing w:line="300" w:lineRule="auto"/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3、船体型线的表示方法</w:t>
      </w:r>
    </w:p>
    <w:p>
      <w:pPr>
        <w:spacing w:line="300" w:lineRule="auto"/>
        <w:ind w:firstLine="432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</w:t>
      </w:r>
      <w:r>
        <w:rPr>
          <w:rFonts w:ascii="宋体" w:hAnsi="宋体"/>
          <w:sz w:val="28"/>
          <w:szCs w:val="28"/>
        </w:rPr>
        <w:t>、</w:t>
      </w:r>
      <w:r>
        <w:rPr>
          <w:rFonts w:hint="eastAsia" w:asciiTheme="minorEastAsia" w:hAnsiTheme="minorEastAsia" w:eastAsiaTheme="minorEastAsia"/>
          <w:sz w:val="28"/>
          <w:szCs w:val="28"/>
        </w:rPr>
        <w:t>船体坐标系</w:t>
      </w:r>
    </w:p>
    <w:p>
      <w:pPr>
        <w:spacing w:line="300" w:lineRule="auto"/>
        <w:ind w:firstLine="420"/>
        <w:outlineLvl w:val="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二、</w:t>
      </w:r>
      <w:r>
        <w:rPr>
          <w:rFonts w:hint="eastAsia" w:ascii="宋体"/>
          <w:b/>
          <w:sz w:val="28"/>
          <w:szCs w:val="28"/>
        </w:rPr>
        <w:t>几何要素计算方法</w:t>
      </w:r>
    </w:p>
    <w:p>
      <w:pPr>
        <w:spacing w:line="300" w:lineRule="auto"/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</w:t>
      </w:r>
      <w:r>
        <w:rPr>
          <w:rFonts w:hint="eastAsia" w:ascii="宋体"/>
          <w:sz w:val="28"/>
          <w:szCs w:val="28"/>
        </w:rPr>
        <w:t>面积</w:t>
      </w:r>
      <w:r>
        <w:rPr>
          <w:rFonts w:hint="eastAsia" w:ascii="宋体" w:hAnsi="宋体"/>
          <w:sz w:val="28"/>
          <w:szCs w:val="28"/>
        </w:rPr>
        <w:t>﹑</w:t>
      </w:r>
      <w:r>
        <w:rPr>
          <w:rFonts w:hint="eastAsia" w:ascii="宋体"/>
          <w:sz w:val="28"/>
          <w:szCs w:val="28"/>
        </w:rPr>
        <w:t>体积及其形心的计算方法</w:t>
      </w:r>
    </w:p>
    <w:p>
      <w:pPr>
        <w:spacing w:line="300" w:lineRule="auto"/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</w:t>
      </w:r>
      <w:r>
        <w:rPr>
          <w:rFonts w:hint="eastAsia" w:ascii="宋体"/>
          <w:sz w:val="28"/>
          <w:szCs w:val="28"/>
        </w:rPr>
        <w:t>面积惯性矩的计算方法</w:t>
      </w:r>
    </w:p>
    <w:p>
      <w:pPr>
        <w:spacing w:line="300" w:lineRule="auto"/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</w:t>
      </w:r>
      <w:r>
        <w:rPr>
          <w:rFonts w:hint="eastAsia" w:ascii="宋体"/>
          <w:sz w:val="28"/>
          <w:szCs w:val="28"/>
        </w:rPr>
        <w:t>数值积分方法中的梯形法、辛浦生法、乞贝雪夫法</w:t>
      </w:r>
    </w:p>
    <w:p>
      <w:pPr>
        <w:spacing w:line="300" w:lineRule="auto"/>
        <w:ind w:firstLine="43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</w:t>
      </w:r>
      <w:r>
        <w:rPr>
          <w:rFonts w:ascii="宋体" w:hAnsi="宋体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提高数值积分精度的方法</w:t>
      </w:r>
    </w:p>
    <w:p>
      <w:pPr>
        <w:spacing w:line="300" w:lineRule="auto"/>
        <w:ind w:firstLine="420"/>
        <w:outlineLvl w:val="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三、</w:t>
      </w:r>
      <w:r>
        <w:rPr>
          <w:rFonts w:hint="eastAsia" w:ascii="宋体"/>
          <w:b/>
          <w:sz w:val="28"/>
          <w:szCs w:val="28"/>
        </w:rPr>
        <w:t>浮性</w:t>
      </w:r>
    </w:p>
    <w:p>
      <w:pPr>
        <w:spacing w:line="300" w:lineRule="auto"/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</w:t>
      </w:r>
      <w:r>
        <w:rPr>
          <w:rFonts w:hint="eastAsia" w:ascii="宋体"/>
          <w:sz w:val="28"/>
          <w:szCs w:val="28"/>
        </w:rPr>
        <w:t>浮体</w:t>
      </w:r>
      <w:r>
        <w:rPr>
          <w:rFonts w:hint="eastAsia"/>
          <w:sz w:val="28"/>
          <w:szCs w:val="28"/>
        </w:rPr>
        <w:t>平衡条件及浮态参数的选择</w:t>
      </w:r>
    </w:p>
    <w:p>
      <w:pPr>
        <w:spacing w:line="300" w:lineRule="auto"/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</w:t>
      </w:r>
      <w:r>
        <w:rPr>
          <w:rFonts w:hint="eastAsia" w:ascii="宋体"/>
          <w:sz w:val="28"/>
          <w:szCs w:val="28"/>
        </w:rPr>
        <w:t>浮体</w:t>
      </w:r>
      <w:r>
        <w:rPr>
          <w:rFonts w:hint="eastAsia"/>
          <w:sz w:val="28"/>
          <w:szCs w:val="28"/>
        </w:rPr>
        <w:t>重量与重心的计算方法</w:t>
      </w:r>
    </w:p>
    <w:p>
      <w:pPr>
        <w:spacing w:line="300" w:lineRule="auto"/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</w:t>
      </w:r>
      <w:r>
        <w:rPr>
          <w:rFonts w:hint="eastAsia"/>
          <w:sz w:val="28"/>
          <w:szCs w:val="28"/>
        </w:rPr>
        <w:t>浮体排水体积及浮心的计算方法</w:t>
      </w:r>
    </w:p>
    <w:p>
      <w:pPr>
        <w:ind w:firstLine="294" w:firstLineChars="105"/>
        <w:rPr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4</w:t>
      </w:r>
      <w:r>
        <w:rPr>
          <w:rFonts w:ascii="宋体" w:hAnsi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邦戎曲线的计算方法</w:t>
      </w:r>
    </w:p>
    <w:p>
      <w:pPr>
        <w:spacing w:line="300" w:lineRule="auto"/>
        <w:ind w:firstLine="420"/>
        <w:outlineLvl w:val="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四、</w:t>
      </w:r>
      <w:r>
        <w:rPr>
          <w:rFonts w:hint="eastAsia" w:ascii="宋体"/>
          <w:b/>
          <w:sz w:val="28"/>
          <w:szCs w:val="28"/>
        </w:rPr>
        <w:t>初稳性</w:t>
      </w:r>
    </w:p>
    <w:p>
      <w:pPr>
        <w:spacing w:line="300" w:lineRule="auto"/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</w:t>
      </w:r>
      <w:r>
        <w:rPr>
          <w:rFonts w:hint="eastAsia" w:ascii="宋体"/>
          <w:sz w:val="28"/>
          <w:szCs w:val="28"/>
        </w:rPr>
        <w:t>初稳性原理及计算方法</w:t>
      </w:r>
    </w:p>
    <w:p>
      <w:pPr>
        <w:spacing w:line="300" w:lineRule="auto"/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</w:t>
      </w:r>
      <w:r>
        <w:rPr>
          <w:rFonts w:hint="eastAsia" w:ascii="宋体"/>
          <w:sz w:val="28"/>
          <w:szCs w:val="28"/>
        </w:rPr>
        <w:t>静水力曲线的计算方法</w:t>
      </w:r>
    </w:p>
    <w:p>
      <w:pPr>
        <w:spacing w:line="300" w:lineRule="auto"/>
        <w:ind w:firstLine="420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3、载荷移动及装卸对船舶浮态及初稳性的影响</w:t>
      </w:r>
    </w:p>
    <w:p>
      <w:pPr>
        <w:spacing w:line="300" w:lineRule="auto"/>
        <w:ind w:firstLine="420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4</w:t>
      </w:r>
      <w:r>
        <w:rPr>
          <w:rFonts w:ascii="宋体"/>
          <w:sz w:val="28"/>
          <w:szCs w:val="28"/>
        </w:rPr>
        <w:t>、</w:t>
      </w:r>
      <w:r>
        <w:rPr>
          <w:rFonts w:hint="eastAsia" w:ascii="宋体"/>
          <w:sz w:val="28"/>
          <w:szCs w:val="28"/>
        </w:rPr>
        <w:t>自由液面对初稳性的影响</w:t>
      </w:r>
    </w:p>
    <w:p>
      <w:pPr>
        <w:spacing w:line="300" w:lineRule="auto"/>
        <w:ind w:firstLine="420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5、倾斜试验的内容及原理</w:t>
      </w:r>
    </w:p>
    <w:p>
      <w:pPr>
        <w:spacing w:line="300" w:lineRule="auto"/>
        <w:ind w:firstLine="420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6、各种装载情况下浮态及初稳性的计算方法</w:t>
      </w:r>
    </w:p>
    <w:p>
      <w:pPr>
        <w:spacing w:line="300" w:lineRule="auto"/>
        <w:ind w:firstLine="420"/>
        <w:outlineLvl w:val="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五、</w:t>
      </w:r>
      <w:r>
        <w:rPr>
          <w:rFonts w:hint="eastAsia" w:ascii="宋体"/>
          <w:b/>
          <w:sz w:val="28"/>
          <w:szCs w:val="28"/>
        </w:rPr>
        <w:t>大倾角稳性</w:t>
      </w:r>
    </w:p>
    <w:p>
      <w:pPr>
        <w:spacing w:line="300" w:lineRule="auto"/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</w:t>
      </w:r>
      <w:r>
        <w:rPr>
          <w:rFonts w:hint="eastAsia" w:ascii="宋体"/>
          <w:sz w:val="28"/>
          <w:szCs w:val="28"/>
        </w:rPr>
        <w:t>稳性横截曲线的计算方法</w:t>
      </w:r>
    </w:p>
    <w:p>
      <w:pPr>
        <w:spacing w:line="300" w:lineRule="auto"/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</w:t>
      </w:r>
      <w:r>
        <w:rPr>
          <w:rFonts w:hint="eastAsia" w:ascii="宋体"/>
          <w:sz w:val="28"/>
          <w:szCs w:val="28"/>
        </w:rPr>
        <w:t>静稳性曲线的计算方法</w:t>
      </w:r>
    </w:p>
    <w:p>
      <w:pPr>
        <w:spacing w:line="300" w:lineRule="auto"/>
        <w:ind w:firstLine="420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3、自由液面，重心位置、进水角等对静稳性曲线的影响</w:t>
      </w:r>
    </w:p>
    <w:p>
      <w:pPr>
        <w:spacing w:line="300" w:lineRule="auto"/>
        <w:ind w:firstLine="420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4</w:t>
      </w:r>
      <w:r>
        <w:rPr>
          <w:rFonts w:ascii="宋体"/>
          <w:sz w:val="28"/>
          <w:szCs w:val="28"/>
        </w:rPr>
        <w:t>、</w:t>
      </w:r>
      <w:r>
        <w:rPr>
          <w:rFonts w:hint="eastAsia" w:ascii="宋体"/>
          <w:sz w:val="28"/>
          <w:szCs w:val="28"/>
        </w:rPr>
        <w:t>动稳性原理及计算方法</w:t>
      </w:r>
    </w:p>
    <w:p>
      <w:pPr>
        <w:spacing w:line="300" w:lineRule="auto"/>
        <w:ind w:firstLine="420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5、静动稳性曲线的应用</w:t>
      </w:r>
    </w:p>
    <w:p>
      <w:pPr>
        <w:ind w:firstLine="294" w:firstLineChars="105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 xml:space="preserve">  6、船舶在各种装载情况下稳性校核计算</w:t>
      </w:r>
    </w:p>
    <w:p>
      <w:pPr>
        <w:ind w:firstLine="294" w:firstLineChars="105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 xml:space="preserve">  7、极限重心高度曲线计算方法</w:t>
      </w:r>
    </w:p>
    <w:p>
      <w:pPr>
        <w:ind w:firstLine="294" w:firstLineChars="105"/>
        <w:rPr>
          <w:sz w:val="28"/>
          <w:szCs w:val="28"/>
        </w:rPr>
      </w:pPr>
      <w:r>
        <w:rPr>
          <w:rFonts w:hint="eastAsia" w:ascii="宋体"/>
          <w:sz w:val="28"/>
          <w:szCs w:val="28"/>
        </w:rPr>
        <w:t xml:space="preserve">  8、海洋平台稳性计算与校核方法</w:t>
      </w:r>
    </w:p>
    <w:p>
      <w:pPr>
        <w:spacing w:line="300" w:lineRule="auto"/>
        <w:ind w:firstLine="420"/>
        <w:outlineLvl w:val="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六、</w:t>
      </w:r>
      <w:r>
        <w:rPr>
          <w:rFonts w:hint="eastAsia" w:ascii="宋体"/>
          <w:b/>
          <w:sz w:val="28"/>
          <w:szCs w:val="28"/>
        </w:rPr>
        <w:t>船舶下水计算</w:t>
      </w:r>
    </w:p>
    <w:p>
      <w:pPr>
        <w:spacing w:line="300" w:lineRule="auto"/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</w:t>
      </w:r>
      <w:r>
        <w:rPr>
          <w:rFonts w:hint="eastAsia"/>
          <w:sz w:val="28"/>
          <w:szCs w:val="28"/>
        </w:rPr>
        <w:t>船舶下水方式</w:t>
      </w:r>
    </w:p>
    <w:p>
      <w:pPr>
        <w:spacing w:line="300" w:lineRule="auto"/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</w:t>
      </w:r>
      <w:r>
        <w:rPr>
          <w:rFonts w:hint="eastAsia"/>
          <w:sz w:val="28"/>
          <w:szCs w:val="28"/>
        </w:rPr>
        <w:t>船舶下水布置</w:t>
      </w:r>
    </w:p>
    <w:p>
      <w:pPr>
        <w:spacing w:line="300" w:lineRule="auto"/>
        <w:ind w:firstLine="420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3、</w:t>
      </w:r>
      <w:r>
        <w:rPr>
          <w:rFonts w:hint="eastAsia"/>
          <w:sz w:val="28"/>
          <w:szCs w:val="28"/>
        </w:rPr>
        <w:t>下水阶段的划分</w:t>
      </w:r>
    </w:p>
    <w:p>
      <w:pPr>
        <w:spacing w:line="300" w:lineRule="auto"/>
        <w:ind w:firstLine="420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4</w:t>
      </w:r>
      <w:r>
        <w:rPr>
          <w:rFonts w:ascii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下水曲线计算方法</w:t>
      </w:r>
    </w:p>
    <w:p>
      <w:pPr>
        <w:spacing w:line="300" w:lineRule="auto"/>
        <w:ind w:firstLine="420"/>
        <w:outlineLvl w:val="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七、</w:t>
      </w:r>
      <w:r>
        <w:rPr>
          <w:rFonts w:hint="eastAsia" w:ascii="宋体"/>
          <w:b/>
          <w:sz w:val="28"/>
          <w:szCs w:val="28"/>
        </w:rPr>
        <w:t>浮体破损稳性</w:t>
      </w:r>
    </w:p>
    <w:p>
      <w:pPr>
        <w:spacing w:line="300" w:lineRule="auto"/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1、进水舱的分类及渗透率</w:t>
      </w:r>
    </w:p>
    <w:p>
      <w:pPr>
        <w:spacing w:line="300" w:lineRule="auto"/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2、可浸长度曲线的计算方法</w:t>
      </w:r>
    </w:p>
    <w:p>
      <w:pPr>
        <w:spacing w:line="300" w:lineRule="auto"/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3、浮体破损后的浮态及初稳性计算方法</w:t>
      </w:r>
    </w:p>
    <w:p>
      <w:pPr>
        <w:spacing w:line="300" w:lineRule="auto"/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</w:t>
      </w:r>
      <w:r>
        <w:rPr>
          <w:rFonts w:asciiTheme="minorEastAsia" w:hAnsiTheme="minorEastAsia" w:eastAsiaTheme="minorEastAsia"/>
          <w:sz w:val="28"/>
          <w:szCs w:val="28"/>
        </w:rPr>
        <w:t>、</w:t>
      </w:r>
      <w:r>
        <w:rPr>
          <w:rFonts w:hint="eastAsia" w:asciiTheme="minorEastAsia" w:hAnsiTheme="minorEastAsia" w:eastAsiaTheme="minorEastAsia"/>
          <w:sz w:val="28"/>
          <w:szCs w:val="28"/>
        </w:rPr>
        <w:t>破损稳性校核计算的确定性方法和概率方法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hint="eastAsia" w:ascii="Microsoft YaHei UI" w:hAnsi="Microsoft YaHei UI"/>
          <w:b/>
          <w:color w:val="000000"/>
          <w:sz w:val="28"/>
          <w:szCs w:val="28"/>
        </w:rPr>
      </w:pPr>
      <w:r>
        <w:rPr>
          <w:rFonts w:hint="eastAsia" w:ascii="Microsoft YaHei UI" w:hAnsi="Microsoft YaHei UI"/>
          <w:b/>
          <w:color w:val="000000"/>
          <w:sz w:val="28"/>
          <w:szCs w:val="28"/>
          <w:lang w:eastAsia="zh-CN"/>
        </w:rPr>
        <w:t>复习资料</w:t>
      </w:r>
      <w:r>
        <w:rPr>
          <w:rFonts w:hint="eastAsia" w:ascii="Microsoft YaHei UI" w:hAnsi="Microsoft YaHei UI"/>
          <w:b/>
          <w:color w:val="000000"/>
          <w:sz w:val="28"/>
          <w:szCs w:val="28"/>
        </w:rPr>
        <w:t>：</w:t>
      </w:r>
    </w:p>
    <w:p>
      <w:pPr>
        <w:rPr>
          <w:sz w:val="28"/>
          <w:szCs w:val="28"/>
        </w:rPr>
      </w:pPr>
      <w:r>
        <w:rPr>
          <w:rFonts w:ascii="Microsoft YaHei UI" w:hAnsi="Microsoft YaHei UI"/>
          <w:color w:val="000000"/>
          <w:sz w:val="28"/>
          <w:szCs w:val="28"/>
        </w:rPr>
        <w:t>盛振邦、刘应中主编</w:t>
      </w:r>
      <w:r>
        <w:rPr>
          <w:rFonts w:hint="eastAsia" w:ascii="Microsoft YaHei UI" w:hAnsi="Microsoft YaHei UI"/>
          <w:color w:val="000000"/>
          <w:sz w:val="28"/>
          <w:szCs w:val="28"/>
        </w:rPr>
        <w:t>.</w:t>
      </w:r>
      <w:r>
        <w:rPr>
          <w:rFonts w:ascii="Microsoft YaHei UI" w:hAnsi="Microsoft YaHei UI"/>
          <w:color w:val="000000"/>
          <w:sz w:val="28"/>
          <w:szCs w:val="28"/>
        </w:rPr>
        <w:t>《船舶原理》（上），上海交通大学出版社，2003.09.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789"/>
    <w:rsid w:val="00001E88"/>
    <w:rsid w:val="00016097"/>
    <w:rsid w:val="00063E46"/>
    <w:rsid w:val="00084065"/>
    <w:rsid w:val="00103841"/>
    <w:rsid w:val="001A2E7F"/>
    <w:rsid w:val="001A33F8"/>
    <w:rsid w:val="001E4E10"/>
    <w:rsid w:val="00245E19"/>
    <w:rsid w:val="002953F4"/>
    <w:rsid w:val="002C4499"/>
    <w:rsid w:val="002E581C"/>
    <w:rsid w:val="002F68C8"/>
    <w:rsid w:val="0030486D"/>
    <w:rsid w:val="00304BCD"/>
    <w:rsid w:val="0034447B"/>
    <w:rsid w:val="0035275E"/>
    <w:rsid w:val="00391D07"/>
    <w:rsid w:val="003B0E7D"/>
    <w:rsid w:val="003E57C2"/>
    <w:rsid w:val="0041039C"/>
    <w:rsid w:val="004D1D0F"/>
    <w:rsid w:val="004F0789"/>
    <w:rsid w:val="004F6C0B"/>
    <w:rsid w:val="005223C2"/>
    <w:rsid w:val="005710AE"/>
    <w:rsid w:val="005A66FA"/>
    <w:rsid w:val="006102E5"/>
    <w:rsid w:val="006D2509"/>
    <w:rsid w:val="006D7BB1"/>
    <w:rsid w:val="006E47CF"/>
    <w:rsid w:val="006F0ACC"/>
    <w:rsid w:val="006F74A7"/>
    <w:rsid w:val="00703B69"/>
    <w:rsid w:val="0070713F"/>
    <w:rsid w:val="0073490F"/>
    <w:rsid w:val="007D6E4D"/>
    <w:rsid w:val="008054BD"/>
    <w:rsid w:val="00831D56"/>
    <w:rsid w:val="0089010B"/>
    <w:rsid w:val="00896868"/>
    <w:rsid w:val="008D781D"/>
    <w:rsid w:val="009100DE"/>
    <w:rsid w:val="00933695"/>
    <w:rsid w:val="00966D57"/>
    <w:rsid w:val="00972587"/>
    <w:rsid w:val="00985B91"/>
    <w:rsid w:val="009C0220"/>
    <w:rsid w:val="00A66F60"/>
    <w:rsid w:val="00AF776B"/>
    <w:rsid w:val="00B14E70"/>
    <w:rsid w:val="00C84450"/>
    <w:rsid w:val="00C967A3"/>
    <w:rsid w:val="00CD30EE"/>
    <w:rsid w:val="00CE0A87"/>
    <w:rsid w:val="00D306F9"/>
    <w:rsid w:val="00D40731"/>
    <w:rsid w:val="00D478AA"/>
    <w:rsid w:val="00D87EBD"/>
    <w:rsid w:val="00DB27C5"/>
    <w:rsid w:val="00E13800"/>
    <w:rsid w:val="00E65E49"/>
    <w:rsid w:val="00E76737"/>
    <w:rsid w:val="00E95261"/>
    <w:rsid w:val="00EC069D"/>
    <w:rsid w:val="00F76D31"/>
    <w:rsid w:val="00F94CB9"/>
    <w:rsid w:val="00FA75AB"/>
    <w:rsid w:val="00FA7788"/>
    <w:rsid w:val="15D7069F"/>
    <w:rsid w:val="6AAA1DD0"/>
    <w:rsid w:val="6FEB37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3">
    <w:name w:val="Document Map"/>
    <w:basedOn w:val="1"/>
    <w:link w:val="12"/>
    <w:unhideWhenUsed/>
    <w:qFormat/>
    <w:uiPriority w:val="99"/>
    <w:rPr>
      <w:rFonts w:ascii="宋体"/>
      <w:sz w:val="18"/>
      <w:szCs w:val="18"/>
    </w:r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7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5"/>
    <w:qFormat/>
    <w:uiPriority w:val="99"/>
    <w:rPr>
      <w:sz w:val="18"/>
      <w:szCs w:val="18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文档结构图 Char"/>
    <w:basedOn w:val="7"/>
    <w:link w:val="3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3">
    <w:name w:val="批注框文本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9B1DA8-C4C1-417F-ADA0-37B473995E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118</Words>
  <Characters>673</Characters>
  <Lines>5</Lines>
  <Paragraphs>1</Paragraphs>
  <ScaleCrop>false</ScaleCrop>
  <LinksUpToDate>false</LinksUpToDate>
  <CharactersWithSpaces>790</CharactersWithSpaces>
  <Application>WPS Office_10.1.0.6660_F1E327BC-269C-435d-A152-05C5408002CA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2017-07-15T05:21:00Z</dcterms:created>
  <dc:creator>微软中国</dc:creator>
  <cp:lastModifiedBy>Administrator</cp:lastModifiedBy>
  <dcterms:modified xsi:type="dcterms:W3CDTF">2017-07-21T06:55:49Z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