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35" w:rsidRPr="003701B9" w:rsidRDefault="00686935" w:rsidP="00993FED">
      <w:pPr>
        <w:spacing w:afterLines="150" w:after="468"/>
        <w:jc w:val="center"/>
        <w:rPr>
          <w:rFonts w:ascii="黑体" w:eastAsia="黑体" w:hAnsi="黑体" w:cs="Times New Roman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黑体" w:hint="eastAsia"/>
          <w:sz w:val="34"/>
          <w:szCs w:val="34"/>
        </w:rPr>
        <w:t>《环境学基础（</w:t>
      </w:r>
      <w:r>
        <w:rPr>
          <w:rFonts w:ascii="黑体" w:eastAsia="黑体" w:hAnsi="黑体" w:cs="黑体"/>
          <w:sz w:val="34"/>
          <w:szCs w:val="34"/>
        </w:rPr>
        <w:t>806</w:t>
      </w:r>
      <w:r>
        <w:rPr>
          <w:rFonts w:ascii="黑体" w:eastAsia="黑体" w:hAnsi="黑体" w:cs="黑体" w:hint="eastAsia"/>
          <w:sz w:val="34"/>
          <w:szCs w:val="34"/>
        </w:rPr>
        <w:t>）》考试大纲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68693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686935" w:rsidRPr="00C849E1" w:rsidRDefault="0068693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686935" w:rsidRPr="00C849E1" w:rsidRDefault="00686935" w:rsidP="008C257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招生单位自命题</w:t>
            </w:r>
          </w:p>
        </w:tc>
      </w:tr>
      <w:tr w:rsidR="0068693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686935" w:rsidRPr="00C849E1" w:rsidRDefault="00686935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686935" w:rsidRPr="00C849E1" w:rsidRDefault="00686935" w:rsidP="008C257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849E1">
              <w:rPr>
                <w:rFonts w:ascii="仿宋" w:eastAsia="仿宋" w:hAnsi="仿宋"/>
                <w:sz w:val="24"/>
                <w:szCs w:val="24"/>
              </w:rPr>
              <w:t>150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68693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686935" w:rsidRPr="0046717B" w:rsidRDefault="0068693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686935" w:rsidRPr="00C849E1" w:rsidRDefault="00686935" w:rsidP="008C257A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C849E1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  <w:r w:rsidRPr="00C849E1"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693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686935" w:rsidRPr="00C849E1" w:rsidRDefault="0068693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686935" w:rsidRPr="0046717B" w:rsidRDefault="00686935" w:rsidP="008C257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6717B"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686935" w:rsidRPr="00356B6C" w:rsidTr="00FA7476">
        <w:trPr>
          <w:trHeight w:val="1229"/>
          <w:jc w:val="center"/>
        </w:trPr>
        <w:tc>
          <w:tcPr>
            <w:tcW w:w="9781" w:type="dxa"/>
            <w:gridSpan w:val="2"/>
          </w:tcPr>
          <w:p w:rsidR="00686935" w:rsidRPr="00C849E1" w:rsidRDefault="00686935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686935" w:rsidRDefault="00686935" w:rsidP="00993FED">
            <w:pPr>
              <w:spacing w:line="44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335E0">
              <w:rPr>
                <w:rFonts w:ascii="仿宋" w:eastAsia="仿宋" w:hAnsi="仿宋" w:cs="宋体" w:hint="eastAsia"/>
                <w:sz w:val="24"/>
                <w:szCs w:val="24"/>
              </w:rPr>
              <w:t>环境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科学基础（含各圈层环境问题、环境化学原理）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60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686935" w:rsidRPr="00C849E1" w:rsidRDefault="00686935" w:rsidP="00993FED">
            <w:pPr>
              <w:spacing w:line="440" w:lineRule="exact"/>
              <w:ind w:leftChars="118" w:left="248" w:rightChars="150" w:right="315"/>
              <w:jc w:val="left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环境污染控制技术（环境管理、控制对策、治理技术）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40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</w:tc>
      </w:tr>
      <w:tr w:rsidR="00686935" w:rsidRPr="00356B6C" w:rsidTr="00FA7476">
        <w:trPr>
          <w:trHeight w:val="1712"/>
          <w:jc w:val="center"/>
        </w:trPr>
        <w:tc>
          <w:tcPr>
            <w:tcW w:w="9781" w:type="dxa"/>
            <w:gridSpan w:val="2"/>
          </w:tcPr>
          <w:p w:rsidR="00686935" w:rsidRPr="00C849E1" w:rsidRDefault="00686935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试卷题型结构</w:t>
            </w:r>
          </w:p>
          <w:p w:rsidR="00686935" w:rsidRPr="00FA7476" w:rsidRDefault="00686935" w:rsidP="00993FED">
            <w:pPr>
              <w:spacing w:line="44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名词解释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20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686935" w:rsidRPr="00FA7476" w:rsidRDefault="00686935" w:rsidP="00993FED">
            <w:pPr>
              <w:spacing w:line="44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简答题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  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35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686935" w:rsidRPr="00C849E1" w:rsidRDefault="00686935" w:rsidP="00993FED">
            <w:pPr>
              <w:spacing w:line="44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论述题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  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45</w:t>
            </w:r>
            <w:r w:rsidRPr="00C849E1"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</w:tc>
      </w:tr>
      <w:tr w:rsidR="00686935" w:rsidRPr="00356B6C" w:rsidTr="00FA7476">
        <w:trPr>
          <w:trHeight w:val="3072"/>
          <w:jc w:val="center"/>
        </w:trPr>
        <w:tc>
          <w:tcPr>
            <w:tcW w:w="9781" w:type="dxa"/>
            <w:gridSpan w:val="2"/>
          </w:tcPr>
          <w:p w:rsidR="00686935" w:rsidRPr="0046717B" w:rsidRDefault="00686935" w:rsidP="0046717B">
            <w:pPr>
              <w:pStyle w:val="a6"/>
              <w:spacing w:line="360" w:lineRule="exact"/>
              <w:ind w:firstLineChars="0" w:firstLine="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考试</w:t>
            </w:r>
            <w:r w:rsidRPr="0046717B">
              <w:rPr>
                <w:rFonts w:ascii="仿宋" w:eastAsia="仿宋" w:hAnsi="仿宋" w:hint="eastAsia"/>
                <w:b/>
                <w:sz w:val="24"/>
              </w:rPr>
              <w:t>目标</w:t>
            </w:r>
          </w:p>
          <w:p w:rsidR="00686935" w:rsidRPr="0046717B" w:rsidRDefault="00686935" w:rsidP="00993FED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要求比较系统地了解环境学研究对象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掌握大气、水、土壤、噪声环境和固体废物的基础知识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基本概念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基本原理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掌握环境评价的内容、作用、手段和方法，掌握生物多样性破坏原因、危害及其保护措施；熟悉全球环境问题及人口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能源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,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资源对环境的影响；了解光、热、放射性和电磁污染等物理性污染的基本含义，了解可持续发展战略。考察学生对环境科学的基本知识、概念、原理和方法的掌握程度，以及学生运用所学知识分析问题和解决问题的能力。</w:t>
            </w:r>
          </w:p>
        </w:tc>
      </w:tr>
      <w:tr w:rsidR="00686935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686935" w:rsidRDefault="00686935" w:rsidP="00993FED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（一）环境学基本理论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、环境的概念、分类、含义（了解）；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、环境多样性（理解）；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、人与环境的和谐（理解）；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、环境规律（理解）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、环境科学及环境学学科分类（了解）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（二）人口与环境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、人口爆炸对环境的影响（了解）；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lastRenderedPageBreak/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、影响人口总量与分布的因素（了解）；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（三）大气环境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、大气概述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）大气的成分（了解）；（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）大气的分层（理解）；（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）大气边界层主要特征（理解）；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、大气污染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）大气污染源及污染物（理解）；（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）几种典型的大气污染（综合应用）；（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）大气污染的危害（了解）；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、主要大气污染物防治技术（综合应用）；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、全球大气环境变化（综合应用）；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（四）水环境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、水的形成、分布及循环（了解）；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、水资源的基本含义、水资源短缺、水资源开发与利用对策（了解）；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、水灾害（了解）；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、水污染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）天然水的化学性质（理解）；（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）水污染的主要来源（理解）；　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）主要的水污染物及其环境效应（理解）；（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）水污染的特征（理解）；（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）水污染控制（综合应用）；（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6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）水质指标（理解）；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（五）土壤环境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、土壤的组成和基本性质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）土壤的组成（理解）；（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）土壤的结构（理解）；（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）土壤环境的基本性质（综合应用）；（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）土壤的形成（了解）；（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）土壤的分类与分布规律（了解）；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、土壤污染和自净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）土壤污染（了解）；（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）土壤污染物类型（了解）；（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）污染物在土壤中的迁移和转化规律（综合应用）；（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）土壤的自净能力（理解）；（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）土壤污染的防治（综合应用）；（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6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）污水土地处理系统（理解）；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（六）物理环境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、声学环境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）噪声的主要特性、噪声的量度、环境噪声度量、环境噪声评价量（理解）；（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）噪声来源、危害（了解）；（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）噪声控制（理解）；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、电磁辐射（了解）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、放射性污染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）放射性污染来源（了解）；（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）危害和影响（了解）；（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）放射性污染的分类（理解）；（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）放射性污染的控制（理解）；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、光污染来源、危害、控制（了解）；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、热污染类型、危害及控制（了解）；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（七）生物环境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、生物多样性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）生物多样性（理解）；（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）人类活动对生物多样性的影响（综合应用）；（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）生物多样性保护（综合应用）；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lastRenderedPageBreak/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、生物安全（理解）；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、生物污染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）污染物在环境中的循环（理解）；（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）污染物在生物体内的归宿（理解）；（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）污染对生物的影响（理解）；（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）污染对种群和生态系统的影响（理解）；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（十）可持续发展</w:t>
            </w:r>
          </w:p>
          <w:p w:rsidR="00686935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、可持续发展的基本理念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）可持续发展的概念（理解）；（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）可持续发展的内涵（理解）；（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）可持续发展的实施途径（理解）；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 w:firstLineChars="100" w:firstLine="2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、可持续发展的理论探讨与实践</w:t>
            </w:r>
            <w:r>
              <w:rPr>
                <w:rFonts w:ascii="仿宋" w:eastAsia="仿宋" w:hAnsi="仿宋" w:cs="宋体"/>
                <w:sz w:val="24"/>
                <w:szCs w:val="24"/>
              </w:rPr>
              <w:t>: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）可持续发展的支撑结构（了解）；（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）可持续发展与五律协同（理解）。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（十一）固体废物的处理、处置与利用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、固体废物的概念及特点（了解）；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、固体废物的处理、处置和利用的原则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及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技术（理解）；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、城市生活垃圾的无害化处理（了解）；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、危险废物概念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及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涵义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、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主要处理与处置技术（理解）；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（十二）环境管理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、环境管理的概念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、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内容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、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制度（了解）；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、中国现行的环境管理制度（理解）；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3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、“三同时”制度（理解）；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4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、环境法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：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）中国环境法规定的基本原则（了解）；（</w:t>
            </w:r>
            <w:r w:rsidRPr="00FA7476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）中国的环境法体系构成（理解）；</w:t>
            </w:r>
          </w:p>
          <w:p w:rsidR="00686935" w:rsidRPr="00FA7476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、环境质量管理基本内容（理解）；</w:t>
            </w:r>
          </w:p>
          <w:p w:rsidR="00686935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FA7476">
              <w:rPr>
                <w:rFonts w:ascii="仿宋" w:eastAsia="仿宋" w:hAnsi="仿宋" w:cs="宋体"/>
                <w:sz w:val="24"/>
                <w:szCs w:val="24"/>
              </w:rPr>
              <w:t> 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 xml:space="preserve">　　</w:t>
            </w:r>
            <w:r>
              <w:rPr>
                <w:rFonts w:ascii="仿宋" w:eastAsia="仿宋" w:hAnsi="仿宋" w:cs="宋体"/>
                <w:sz w:val="24"/>
                <w:szCs w:val="24"/>
              </w:rPr>
              <w:t>6</w:t>
            </w:r>
            <w:r w:rsidRPr="00FA7476">
              <w:rPr>
                <w:rFonts w:ascii="仿宋" w:eastAsia="仿宋" w:hAnsi="仿宋" w:cs="宋体" w:hint="eastAsia"/>
                <w:sz w:val="24"/>
                <w:szCs w:val="24"/>
              </w:rPr>
              <w:t>、我国的环境标准体系（了解）。</w:t>
            </w:r>
          </w:p>
          <w:p w:rsidR="00686935" w:rsidRPr="0046717B" w:rsidRDefault="00686935" w:rsidP="00993FED">
            <w:pPr>
              <w:spacing w:line="420" w:lineRule="exact"/>
              <w:ind w:leftChars="118" w:left="248" w:rightChars="150" w:right="315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686935" w:rsidRPr="00356B6C" w:rsidTr="00FA7476">
        <w:trPr>
          <w:trHeight w:val="1392"/>
          <w:jc w:val="center"/>
        </w:trPr>
        <w:tc>
          <w:tcPr>
            <w:tcW w:w="9781" w:type="dxa"/>
            <w:gridSpan w:val="2"/>
          </w:tcPr>
          <w:p w:rsidR="00686935" w:rsidRPr="0046717B" w:rsidRDefault="00686935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46717B"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686935" w:rsidRPr="00064FFE" w:rsidRDefault="00686935" w:rsidP="00993FED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1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《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环境学（第二版）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》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，左玉辉，高等教育出版社，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2011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年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5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月</w:t>
            </w:r>
          </w:p>
          <w:p w:rsidR="00686935" w:rsidRPr="0009102D" w:rsidRDefault="00686935" w:rsidP="00993FED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（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《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环境化学（第二版）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》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，戴树桂，高等教育出版社，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2006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年</w:t>
            </w:r>
            <w:r w:rsidRPr="00064FFE">
              <w:rPr>
                <w:rFonts w:ascii="仿宋" w:eastAsia="仿宋" w:hAnsi="仿宋" w:cs="宋体"/>
                <w:sz w:val="24"/>
                <w:szCs w:val="24"/>
              </w:rPr>
              <w:t>10</w:t>
            </w:r>
            <w:r w:rsidRPr="00064FFE">
              <w:rPr>
                <w:rFonts w:ascii="仿宋" w:eastAsia="仿宋" w:hAnsi="仿宋" w:cs="宋体" w:hint="eastAsia"/>
                <w:sz w:val="24"/>
                <w:szCs w:val="24"/>
              </w:rPr>
              <w:t>月</w:t>
            </w:r>
          </w:p>
        </w:tc>
      </w:tr>
      <w:tr w:rsidR="00686935" w:rsidRPr="00356B6C" w:rsidTr="001A61E7">
        <w:trPr>
          <w:trHeight w:val="1060"/>
          <w:jc w:val="center"/>
        </w:trPr>
        <w:tc>
          <w:tcPr>
            <w:tcW w:w="9781" w:type="dxa"/>
            <w:gridSpan w:val="2"/>
          </w:tcPr>
          <w:p w:rsidR="00686935" w:rsidRPr="0046717B" w:rsidRDefault="00686935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686935" w:rsidRDefault="00686935" w:rsidP="00586881">
      <w:pPr>
        <w:rPr>
          <w:rFonts w:cs="Times New Roman"/>
        </w:rPr>
      </w:pPr>
    </w:p>
    <w:sectPr w:rsidR="00686935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D1" w:rsidRDefault="00B35AD1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35AD1" w:rsidRDefault="00B35AD1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D1" w:rsidRDefault="00B35AD1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35AD1" w:rsidRDefault="00B35AD1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26B18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2EFAA56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586A38E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BA8DFE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8136526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388160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236091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AAECBC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29A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C58A56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64FFE"/>
    <w:rsid w:val="0009102D"/>
    <w:rsid w:val="000C5897"/>
    <w:rsid w:val="0011620E"/>
    <w:rsid w:val="0012349F"/>
    <w:rsid w:val="00124827"/>
    <w:rsid w:val="001A61E7"/>
    <w:rsid w:val="001B553A"/>
    <w:rsid w:val="002608BC"/>
    <w:rsid w:val="002746DB"/>
    <w:rsid w:val="003275CD"/>
    <w:rsid w:val="00356B6C"/>
    <w:rsid w:val="003701B9"/>
    <w:rsid w:val="003802BF"/>
    <w:rsid w:val="003A1645"/>
    <w:rsid w:val="003B2AB2"/>
    <w:rsid w:val="003E575B"/>
    <w:rsid w:val="00423857"/>
    <w:rsid w:val="00435BD5"/>
    <w:rsid w:val="00450A24"/>
    <w:rsid w:val="00456A84"/>
    <w:rsid w:val="0046717B"/>
    <w:rsid w:val="004A6661"/>
    <w:rsid w:val="00525375"/>
    <w:rsid w:val="005768DE"/>
    <w:rsid w:val="00586881"/>
    <w:rsid w:val="005C10F8"/>
    <w:rsid w:val="00645032"/>
    <w:rsid w:val="00686935"/>
    <w:rsid w:val="00730B56"/>
    <w:rsid w:val="007541B3"/>
    <w:rsid w:val="00766E25"/>
    <w:rsid w:val="007A5266"/>
    <w:rsid w:val="007D7D7E"/>
    <w:rsid w:val="008A1FD4"/>
    <w:rsid w:val="008C257A"/>
    <w:rsid w:val="008E7E69"/>
    <w:rsid w:val="00921BCA"/>
    <w:rsid w:val="00993FED"/>
    <w:rsid w:val="009A4DDC"/>
    <w:rsid w:val="009D7D87"/>
    <w:rsid w:val="00A35C05"/>
    <w:rsid w:val="00A8228E"/>
    <w:rsid w:val="00AB69D1"/>
    <w:rsid w:val="00AD1679"/>
    <w:rsid w:val="00B35AD1"/>
    <w:rsid w:val="00BC1FF2"/>
    <w:rsid w:val="00BC47BA"/>
    <w:rsid w:val="00BE48AB"/>
    <w:rsid w:val="00C24DA0"/>
    <w:rsid w:val="00C50E53"/>
    <w:rsid w:val="00C770F3"/>
    <w:rsid w:val="00C849E1"/>
    <w:rsid w:val="00CC2D0E"/>
    <w:rsid w:val="00CE6CBD"/>
    <w:rsid w:val="00D01C34"/>
    <w:rsid w:val="00D41D91"/>
    <w:rsid w:val="00DB5790"/>
    <w:rsid w:val="00DE2694"/>
    <w:rsid w:val="00DF0AEF"/>
    <w:rsid w:val="00E16E28"/>
    <w:rsid w:val="00E90852"/>
    <w:rsid w:val="00EF7883"/>
    <w:rsid w:val="00F130C7"/>
    <w:rsid w:val="00F335E0"/>
    <w:rsid w:val="00F46F9C"/>
    <w:rsid w:val="00FA7476"/>
    <w:rsid w:val="00FB29F7"/>
    <w:rsid w:val="00FC212A"/>
    <w:rsid w:val="00FC3269"/>
    <w:rsid w:val="00FE3E8D"/>
    <w:rsid w:val="00FE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0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325</Words>
  <Characters>1857</Characters>
  <Application>Microsoft Office Word</Application>
  <DocSecurity>0</DocSecurity>
  <Lines>15</Lines>
  <Paragraphs>4</Paragraphs>
  <ScaleCrop>false</ScaleCrop>
  <Company>DD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刘正学</cp:lastModifiedBy>
  <cp:revision>24</cp:revision>
  <dcterms:created xsi:type="dcterms:W3CDTF">2014-10-11T07:30:00Z</dcterms:created>
  <dcterms:modified xsi:type="dcterms:W3CDTF">2016-07-08T12:21:00Z</dcterms:modified>
</cp:coreProperties>
</file>