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center"/>
        <w:rPr>
          <w:rStyle w:val="3"/>
          <w:rFonts w:hint="default" w:ascii="仿宋_gb2312" w:hAnsi="仿宋_gb2312" w:eastAsia="仿宋_gb2312" w:cs="仿宋_gb2312"/>
          <w:b w:val="0"/>
          <w:i w:val="0"/>
          <w:caps w:val="0"/>
          <w:color w:val="000000"/>
          <w:spacing w:val="0"/>
          <w:kern w:val="0"/>
          <w:sz w:val="32"/>
          <w:szCs w:val="32"/>
          <w:lang w:val="en-US" w:eastAsia="zh-CN" w:bidi="ar"/>
        </w:rPr>
      </w:pPr>
      <w:r>
        <w:rPr>
          <w:rFonts w:hint="eastAsia" w:ascii="微软雅黑" w:hAnsi="微软雅黑" w:eastAsia="微软雅黑" w:cs="微软雅黑"/>
          <w:b/>
          <w:i w:val="0"/>
          <w:caps w:val="0"/>
          <w:color w:val="000000"/>
          <w:spacing w:val="0"/>
          <w:kern w:val="0"/>
          <w:sz w:val="32"/>
          <w:szCs w:val="32"/>
          <w:lang w:val="en-US" w:eastAsia="zh-CN" w:bidi="ar"/>
        </w:rPr>
        <w:t>太原师范学院美术系2018年硕士研究生招生调剂信息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70"/>
        <w:jc w:val="both"/>
        <w:rPr>
          <w:rFonts w:ascii="仿宋_gb2312" w:hAnsi="仿宋_gb2312" w:eastAsia="仿宋_gb2312" w:cs="仿宋_gb2312"/>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70"/>
        <w:jc w:val="both"/>
        <w:rPr>
          <w:rFonts w:hint="default" w:ascii="Times New Roman" w:hAnsi="Times New Roman" w:cs="Times New Roman"/>
          <w:sz w:val="21"/>
          <w:szCs w:val="21"/>
        </w:rPr>
      </w:pPr>
      <w:r>
        <w:rPr>
          <w:rFonts w:ascii="仿宋_gb2312" w:hAnsi="仿宋_gb2312" w:eastAsia="仿宋_gb2312" w:cs="仿宋_gb2312"/>
          <w:i w:val="0"/>
          <w:caps w:val="0"/>
          <w:color w:val="000000"/>
          <w:spacing w:val="0"/>
          <w:kern w:val="0"/>
          <w:sz w:val="21"/>
          <w:szCs w:val="21"/>
          <w:lang w:val="en-US" w:eastAsia="zh-CN" w:bidi="ar"/>
        </w:rPr>
        <w:t>2018</w:t>
      </w:r>
      <w:r>
        <w:rPr>
          <w:rFonts w:hint="default" w:ascii="仿宋_gb2312" w:hAnsi="仿宋_gb2312" w:eastAsia="仿宋_gb2312" w:cs="仿宋_gb2312"/>
          <w:i w:val="0"/>
          <w:caps w:val="0"/>
          <w:color w:val="000000"/>
          <w:spacing w:val="0"/>
          <w:kern w:val="0"/>
          <w:sz w:val="21"/>
          <w:szCs w:val="21"/>
          <w:lang w:val="en-US" w:eastAsia="zh-CN" w:bidi="ar"/>
        </w:rPr>
        <w:t>年全国硕士研究生招生考试初试成绩已经公布</w:t>
      </w:r>
      <w:r>
        <w:rPr>
          <w:rFonts w:hint="eastAsia" w:ascii="仿宋_gb2312" w:hAnsi="仿宋_gb2312" w:eastAsia="仿宋_gb2312" w:cs="仿宋_gb2312"/>
          <w:i w:val="0"/>
          <w:caps w:val="0"/>
          <w:color w:val="000000"/>
          <w:spacing w:val="0"/>
          <w:kern w:val="0"/>
          <w:sz w:val="21"/>
          <w:szCs w:val="21"/>
          <w:lang w:val="en-US" w:eastAsia="zh-CN" w:bidi="ar"/>
        </w:rPr>
        <w:t>，</w:t>
      </w:r>
      <w:r>
        <w:rPr>
          <w:rFonts w:hint="default" w:ascii="仿宋_gb2312" w:hAnsi="仿宋_gb2312" w:eastAsia="仿宋_gb2312" w:cs="仿宋_gb2312"/>
          <w:i w:val="0"/>
          <w:caps w:val="0"/>
          <w:color w:val="000000"/>
          <w:spacing w:val="0"/>
          <w:kern w:val="0"/>
          <w:sz w:val="21"/>
          <w:szCs w:val="21"/>
          <w:lang w:val="en-US" w:eastAsia="zh-CN" w:bidi="ar"/>
        </w:rPr>
        <w:t>考生进入复试</w:t>
      </w:r>
      <w:r>
        <w:rPr>
          <w:rFonts w:hint="eastAsia" w:ascii="仿宋_gb2312" w:hAnsi="仿宋_gb2312" w:eastAsia="仿宋_gb2312" w:cs="仿宋_gb2312"/>
          <w:i w:val="0"/>
          <w:caps w:val="0"/>
          <w:color w:val="000000"/>
          <w:spacing w:val="0"/>
          <w:kern w:val="0"/>
          <w:sz w:val="21"/>
          <w:szCs w:val="21"/>
          <w:lang w:val="en-US" w:eastAsia="zh-CN" w:bidi="ar"/>
        </w:rPr>
        <w:t>阶段。</w:t>
      </w:r>
      <w:r>
        <w:rPr>
          <w:rFonts w:hint="default" w:ascii="仿宋_gb2312" w:hAnsi="仿宋_gb2312" w:eastAsia="仿宋_gb2312" w:cs="仿宋_gb2312"/>
          <w:i w:val="0"/>
          <w:caps w:val="0"/>
          <w:color w:val="000000"/>
          <w:spacing w:val="0"/>
          <w:kern w:val="0"/>
          <w:sz w:val="21"/>
          <w:szCs w:val="21"/>
          <w:lang w:val="en-US" w:eastAsia="zh-CN" w:bidi="ar"/>
        </w:rPr>
        <w:t>根据报考我</w:t>
      </w:r>
      <w:r>
        <w:rPr>
          <w:rFonts w:hint="eastAsia" w:ascii="仿宋_gb2312" w:hAnsi="仿宋_gb2312" w:eastAsia="仿宋_gb2312" w:cs="仿宋_gb2312"/>
          <w:i w:val="0"/>
          <w:caps w:val="0"/>
          <w:color w:val="000000"/>
          <w:spacing w:val="0"/>
          <w:kern w:val="0"/>
          <w:sz w:val="21"/>
          <w:szCs w:val="21"/>
          <w:lang w:val="en-US" w:eastAsia="zh-CN" w:bidi="ar"/>
        </w:rPr>
        <w:t>系</w:t>
      </w:r>
      <w:r>
        <w:rPr>
          <w:rFonts w:hint="default" w:ascii="仿宋_gb2312" w:hAnsi="仿宋_gb2312" w:eastAsia="仿宋_gb2312" w:cs="仿宋_gb2312"/>
          <w:i w:val="0"/>
          <w:caps w:val="0"/>
          <w:color w:val="000000"/>
          <w:spacing w:val="0"/>
          <w:kern w:val="0"/>
          <w:sz w:val="21"/>
          <w:szCs w:val="21"/>
          <w:lang w:val="en-US" w:eastAsia="zh-CN" w:bidi="ar"/>
        </w:rPr>
        <w:t>考生的初试成绩情况，我</w:t>
      </w:r>
      <w:r>
        <w:rPr>
          <w:rFonts w:hint="eastAsia" w:ascii="仿宋_gb2312" w:hAnsi="仿宋_gb2312" w:eastAsia="仿宋_gb2312" w:cs="仿宋_gb2312"/>
          <w:i w:val="0"/>
          <w:caps w:val="0"/>
          <w:color w:val="000000"/>
          <w:spacing w:val="0"/>
          <w:kern w:val="0"/>
          <w:sz w:val="21"/>
          <w:szCs w:val="21"/>
          <w:lang w:val="en-US" w:eastAsia="zh-CN" w:bidi="ar"/>
        </w:rPr>
        <w:t>系</w:t>
      </w:r>
      <w:r>
        <w:rPr>
          <w:rFonts w:hint="default" w:ascii="仿宋_gb2312" w:hAnsi="仿宋_gb2312" w:eastAsia="仿宋_gb2312" w:cs="仿宋_gb2312"/>
          <w:i w:val="0"/>
          <w:caps w:val="0"/>
          <w:color w:val="000000"/>
          <w:spacing w:val="0"/>
          <w:kern w:val="0"/>
          <w:sz w:val="21"/>
          <w:szCs w:val="21"/>
          <w:lang w:val="en-US" w:eastAsia="zh-CN" w:bidi="ar"/>
        </w:rPr>
        <w:t>部分学科、专业接收调剂生，现将接收调剂学科、专业、调剂要求等说明如下: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both"/>
        <w:rPr>
          <w:rStyle w:val="3"/>
          <w:rFonts w:hint="default" w:ascii="仿宋_gb2312" w:hAnsi="仿宋_gb2312" w:eastAsia="仿宋_gb2312" w:cs="仿宋_gb2312"/>
          <w:b/>
          <w:bCs/>
          <w:i w:val="0"/>
          <w:caps w:val="0"/>
          <w:color w:val="000000"/>
          <w:spacing w:val="0"/>
          <w:kern w:val="0"/>
          <w:sz w:val="21"/>
          <w:szCs w:val="21"/>
          <w:lang w:val="en-US" w:eastAsia="zh-CN" w:bidi="ar"/>
        </w:rPr>
      </w:pPr>
      <w:r>
        <w:rPr>
          <w:rStyle w:val="3"/>
          <w:rFonts w:hint="eastAsia" w:ascii="仿宋_gb2312" w:hAnsi="仿宋_gb2312" w:eastAsia="仿宋_gb2312" w:cs="仿宋_gb2312"/>
          <w:b/>
          <w:bCs/>
          <w:i w:val="0"/>
          <w:caps w:val="0"/>
          <w:color w:val="000000"/>
          <w:spacing w:val="0"/>
          <w:kern w:val="0"/>
          <w:sz w:val="21"/>
          <w:szCs w:val="21"/>
          <w:lang w:val="en-US" w:eastAsia="zh-CN" w:bidi="ar"/>
        </w:rPr>
        <w:t>一、</w:t>
      </w:r>
      <w:r>
        <w:rPr>
          <w:rStyle w:val="3"/>
          <w:rFonts w:hint="default" w:ascii="仿宋_gb2312" w:hAnsi="仿宋_gb2312" w:eastAsia="仿宋_gb2312" w:cs="仿宋_gb2312"/>
          <w:b/>
          <w:bCs/>
          <w:i w:val="0"/>
          <w:caps w:val="0"/>
          <w:color w:val="000000"/>
          <w:spacing w:val="0"/>
          <w:kern w:val="0"/>
          <w:sz w:val="21"/>
          <w:szCs w:val="21"/>
          <w:lang w:val="en-US" w:eastAsia="zh-CN" w:bidi="ar"/>
        </w:rPr>
        <w:t>接受调剂专业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firstLine="210" w:firstLineChars="100"/>
        <w:jc w:val="both"/>
        <w:rPr>
          <w:rFonts w:hint="default" w:ascii="仿宋_gb2312" w:hAnsi="仿宋_gb2312" w:eastAsia="仿宋_gb2312" w:cs="仿宋_gb2312"/>
          <w:i w:val="0"/>
          <w:caps w:val="0"/>
          <w:color w:val="000000"/>
          <w:spacing w:val="0"/>
          <w:kern w:val="0"/>
          <w:sz w:val="21"/>
          <w:szCs w:val="21"/>
          <w:lang w:val="en-US" w:eastAsia="zh-CN" w:bidi="ar"/>
        </w:rPr>
      </w:pPr>
      <w:r>
        <w:rPr>
          <w:rFonts w:hint="default" w:ascii="仿宋_gb2312" w:hAnsi="仿宋_gb2312" w:eastAsia="仿宋_gb2312" w:cs="仿宋_gb2312"/>
          <w:i w:val="0"/>
          <w:caps w:val="0"/>
          <w:color w:val="000000"/>
          <w:spacing w:val="0"/>
          <w:kern w:val="0"/>
          <w:sz w:val="21"/>
          <w:szCs w:val="21"/>
          <w:lang w:val="en-US" w:eastAsia="zh-CN" w:bidi="ar"/>
        </w:rPr>
        <w:t>专业学位研究生：</w:t>
      </w:r>
    </w:p>
    <w:tbl>
      <w:tblPr>
        <w:tblStyle w:val="5"/>
        <w:tblpPr w:leftFromText="180" w:rightFromText="180" w:vertAnchor="text" w:horzAnchor="page" w:tblpX="2097" w:tblpY="234"/>
        <w:tblOverlap w:val="never"/>
        <w:tblW w:w="8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661"/>
        <w:gridCol w:w="1662"/>
        <w:gridCol w:w="1662"/>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1661"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院系名称</w:t>
            </w:r>
          </w:p>
        </w:tc>
        <w:tc>
          <w:tcPr>
            <w:tcW w:w="1661"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专业代码</w:t>
            </w:r>
          </w:p>
        </w:tc>
        <w:tc>
          <w:tcPr>
            <w:tcW w:w="1662"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专业名称</w:t>
            </w:r>
          </w:p>
        </w:tc>
        <w:tc>
          <w:tcPr>
            <w:tcW w:w="1662"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学位类型</w:t>
            </w:r>
          </w:p>
        </w:tc>
        <w:tc>
          <w:tcPr>
            <w:tcW w:w="1654"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学习方式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661"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eastAsia"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美术系</w:t>
            </w:r>
          </w:p>
        </w:tc>
        <w:tc>
          <w:tcPr>
            <w:tcW w:w="1661"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135107</w:t>
            </w:r>
          </w:p>
        </w:tc>
        <w:tc>
          <w:tcPr>
            <w:tcW w:w="1662"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美术</w:t>
            </w:r>
          </w:p>
        </w:tc>
        <w:tc>
          <w:tcPr>
            <w:tcW w:w="1662"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default"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专业学位</w:t>
            </w:r>
          </w:p>
        </w:tc>
        <w:tc>
          <w:tcPr>
            <w:tcW w:w="1654" w:type="dxa"/>
          </w:tcPr>
          <w:p>
            <w:pPr>
              <w:keepNext w:val="0"/>
              <w:keepLines w:val="0"/>
              <w:widowControl/>
              <w:numPr>
                <w:ilvl w:val="0"/>
                <w:numId w:val="0"/>
              </w:numPr>
              <w:suppressLineNumbers w:val="0"/>
              <w:spacing w:before="0" w:beforeAutospacing="0" w:after="0" w:afterAutospacing="0" w:line="400" w:lineRule="atLeast"/>
              <w:ind w:right="0" w:rightChars="0"/>
              <w:jc w:val="both"/>
              <w:rPr>
                <w:rFonts w:hint="eastAsia" w:ascii="仿宋_gb2312" w:hAnsi="仿宋_gb2312" w:eastAsia="仿宋_gb2312" w:cs="仿宋_gb2312"/>
                <w:i w:val="0"/>
                <w:caps w:val="0"/>
                <w:color w:val="000000"/>
                <w:spacing w:val="0"/>
                <w:kern w:val="0"/>
                <w:sz w:val="21"/>
                <w:szCs w:val="21"/>
                <w:vertAlign w:val="baseline"/>
                <w:lang w:val="en-US" w:eastAsia="zh-CN" w:bidi="ar"/>
              </w:rPr>
            </w:pPr>
            <w:r>
              <w:rPr>
                <w:rFonts w:hint="eastAsia" w:ascii="仿宋_gb2312" w:hAnsi="仿宋_gb2312" w:eastAsia="仿宋_gb2312" w:cs="仿宋_gb2312"/>
                <w:i w:val="0"/>
                <w:caps w:val="0"/>
                <w:color w:val="000000"/>
                <w:spacing w:val="0"/>
                <w:kern w:val="0"/>
                <w:sz w:val="21"/>
                <w:szCs w:val="21"/>
                <w:vertAlign w:val="baseline"/>
                <w:lang w:val="en-US" w:eastAsia="zh-CN" w:bidi="ar"/>
              </w:rPr>
              <w:t>全日制</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both"/>
        <w:rPr>
          <w:rFonts w:hint="default" w:ascii="Times New Roman" w:hAnsi="Times New Roman" w:cs="Times New Roman"/>
          <w:sz w:val="21"/>
          <w:szCs w:val="21"/>
        </w:rPr>
      </w:pPr>
      <w:r>
        <w:rPr>
          <w:rStyle w:val="3"/>
          <w:rFonts w:hint="default" w:ascii="仿宋_gb2312" w:hAnsi="仿宋_gb2312" w:eastAsia="仿宋_gb2312" w:cs="仿宋_gb2312"/>
          <w:b/>
          <w:bCs/>
          <w:i w:val="0"/>
          <w:caps w:val="0"/>
          <w:color w:val="000000"/>
          <w:spacing w:val="0"/>
          <w:kern w:val="0"/>
          <w:sz w:val="21"/>
          <w:szCs w:val="21"/>
          <w:lang w:val="en-US" w:eastAsia="zh-CN" w:bidi="ar"/>
        </w:rPr>
        <w:t>二、调剂要求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70"/>
        <w:jc w:val="both"/>
        <w:rPr>
          <w:rFonts w:hint="default" w:ascii="Times New Roman" w:hAnsi="Times New Roman" w:cs="Times New Roman"/>
          <w:sz w:val="21"/>
          <w:szCs w:val="21"/>
        </w:rPr>
      </w:pPr>
      <w:r>
        <w:rPr>
          <w:rFonts w:hint="default" w:ascii="仿宋_gb2312" w:hAnsi="仿宋_gb2312" w:eastAsia="仿宋_gb2312" w:cs="仿宋_gb2312"/>
          <w:i w:val="0"/>
          <w:caps w:val="0"/>
          <w:color w:val="000000"/>
          <w:spacing w:val="0"/>
          <w:kern w:val="0"/>
          <w:sz w:val="21"/>
          <w:szCs w:val="21"/>
          <w:lang w:val="en-US" w:eastAsia="zh-CN" w:bidi="ar"/>
        </w:rPr>
        <w:t>1.初试成绩(单科与总成绩)达到国家教育部统一划定的Ａ类考生复试分数线。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70"/>
        <w:jc w:val="both"/>
        <w:rPr>
          <w:rFonts w:hint="default" w:ascii="Times New Roman" w:hAnsi="Times New Roman" w:cs="Times New Roman"/>
          <w:sz w:val="21"/>
          <w:szCs w:val="21"/>
        </w:rPr>
      </w:pPr>
      <w:r>
        <w:rPr>
          <w:rFonts w:hint="default" w:ascii="仿宋_gb2312" w:hAnsi="仿宋_gb2312" w:eastAsia="仿宋_gb2312" w:cs="仿宋_gb2312"/>
          <w:i w:val="0"/>
          <w:caps w:val="0"/>
          <w:color w:val="000000"/>
          <w:spacing w:val="0"/>
          <w:kern w:val="0"/>
          <w:sz w:val="21"/>
          <w:szCs w:val="21"/>
          <w:lang w:val="en-US" w:eastAsia="zh-CN" w:bidi="ar"/>
        </w:rPr>
        <w:t>2.报考专业</w:t>
      </w:r>
      <w:r>
        <w:rPr>
          <w:rFonts w:hint="eastAsia" w:ascii="仿宋_gb2312" w:hAnsi="仿宋_gb2312" w:eastAsia="仿宋_gb2312" w:cs="仿宋_gb2312"/>
          <w:i w:val="0"/>
          <w:caps w:val="0"/>
          <w:color w:val="000000"/>
          <w:spacing w:val="0"/>
          <w:kern w:val="0"/>
          <w:sz w:val="21"/>
          <w:szCs w:val="21"/>
          <w:lang w:val="en-US" w:eastAsia="zh-CN" w:bidi="ar"/>
        </w:rPr>
        <w:t>与</w:t>
      </w:r>
      <w:r>
        <w:rPr>
          <w:rFonts w:hint="default" w:ascii="仿宋_gb2312" w:hAnsi="仿宋_gb2312" w:eastAsia="仿宋_gb2312" w:cs="仿宋_gb2312"/>
          <w:i w:val="0"/>
          <w:caps w:val="0"/>
          <w:color w:val="000000"/>
          <w:spacing w:val="0"/>
          <w:kern w:val="0"/>
          <w:sz w:val="21"/>
          <w:szCs w:val="21"/>
          <w:lang w:val="en-US" w:eastAsia="zh-CN" w:bidi="ar"/>
        </w:rPr>
        <w:t>调剂专业为相同或相近（不得跨学科调剂），且与我校《2018年硕士研究生招生专业目录》所列的学科、专业相符合。统考科目相同，业务课至少一门相同。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70"/>
        <w:jc w:val="left"/>
        <w:rPr>
          <w:rStyle w:val="3"/>
          <w:rFonts w:hint="default" w:ascii="仿宋_gb2312" w:hAnsi="仿宋_gb2312" w:eastAsia="仿宋_gb2312" w:cs="仿宋_gb2312"/>
          <w:b/>
          <w:bCs/>
          <w:i w:val="0"/>
          <w:caps w:val="0"/>
          <w:color w:val="000000"/>
          <w:spacing w:val="0"/>
          <w:kern w:val="0"/>
          <w:sz w:val="21"/>
          <w:szCs w:val="21"/>
          <w:lang w:val="en-US" w:eastAsia="zh-CN" w:bidi="ar"/>
        </w:rPr>
      </w:pPr>
      <w:r>
        <w:rPr>
          <w:rFonts w:hint="default" w:ascii="仿宋_gb2312" w:hAnsi="仿宋_gb2312" w:eastAsia="仿宋_gb2312" w:cs="仿宋_gb2312"/>
          <w:i w:val="0"/>
          <w:caps w:val="0"/>
          <w:color w:val="000000"/>
          <w:spacing w:val="0"/>
          <w:kern w:val="0"/>
          <w:sz w:val="21"/>
          <w:szCs w:val="21"/>
          <w:lang w:val="en-US" w:eastAsia="zh-CN" w:bidi="ar"/>
        </w:rPr>
        <w:t>3.考生必须通过教育部“中国研究生招生信息网” （http://yz.chsi.com.cn）的调剂系统办理调剂手续，否则调剂无效。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default" w:ascii="Times New Roman" w:hAnsi="Times New Roman" w:cs="Times New Roman"/>
          <w:b/>
          <w:bCs/>
          <w:sz w:val="21"/>
          <w:szCs w:val="21"/>
        </w:rPr>
      </w:pPr>
      <w:r>
        <w:rPr>
          <w:rStyle w:val="3"/>
          <w:rFonts w:hint="default" w:ascii="仿宋_gb2312" w:hAnsi="仿宋_gb2312" w:eastAsia="仿宋_gb2312" w:cs="仿宋_gb2312"/>
          <w:b/>
          <w:bCs/>
          <w:i w:val="0"/>
          <w:caps w:val="0"/>
          <w:color w:val="000000"/>
          <w:spacing w:val="0"/>
          <w:kern w:val="0"/>
          <w:sz w:val="21"/>
          <w:szCs w:val="21"/>
          <w:lang w:val="en-US" w:eastAsia="zh-CN" w:bidi="ar"/>
        </w:rPr>
        <w:t>三、调剂程序：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70"/>
        <w:jc w:val="left"/>
        <w:rPr>
          <w:rFonts w:hint="default" w:ascii="Times New Roman" w:hAnsi="Times New Roman" w:cs="Times New Roman"/>
          <w:sz w:val="21"/>
          <w:szCs w:val="21"/>
        </w:rPr>
      </w:pPr>
      <w:r>
        <w:rPr>
          <w:rFonts w:hint="default" w:ascii="仿宋_gb2312" w:hAnsi="仿宋_gb2312" w:eastAsia="仿宋_gb2312" w:cs="仿宋_gb2312"/>
          <w:i w:val="0"/>
          <w:caps w:val="0"/>
          <w:color w:val="000000"/>
          <w:spacing w:val="0"/>
          <w:kern w:val="0"/>
          <w:sz w:val="21"/>
          <w:szCs w:val="21"/>
          <w:lang w:val="en-US" w:eastAsia="zh-CN" w:bidi="ar"/>
        </w:rPr>
        <w:t>1. “中国研究生招生信息网”的调剂系统将于3月23日开通，届时考生凭网上报名时的用户名和密码登陆“中国研究生招生信息网”</w:t>
      </w:r>
      <w:r>
        <w:rPr>
          <w:rFonts w:hint="eastAsia" w:ascii="仿宋_gb2312" w:hAnsi="仿宋_gb2312" w:eastAsia="仿宋_gb2312" w:cs="仿宋_gb2312"/>
          <w:i w:val="0"/>
          <w:caps w:val="0"/>
          <w:color w:val="000000"/>
          <w:spacing w:val="0"/>
          <w:kern w:val="0"/>
          <w:sz w:val="21"/>
          <w:szCs w:val="21"/>
          <w:lang w:val="en-US" w:eastAsia="zh-CN" w:bidi="ar"/>
        </w:rPr>
        <w:t>，</w:t>
      </w:r>
      <w:r>
        <w:rPr>
          <w:rFonts w:hint="default" w:ascii="仿宋_gb2312" w:hAnsi="仿宋_gb2312" w:eastAsia="仿宋_gb2312" w:cs="仿宋_gb2312"/>
          <w:i w:val="0"/>
          <w:caps w:val="0"/>
          <w:color w:val="000000"/>
          <w:spacing w:val="0"/>
          <w:kern w:val="0"/>
          <w:sz w:val="21"/>
          <w:szCs w:val="21"/>
          <w:lang w:val="en-US" w:eastAsia="zh-CN" w:bidi="ar"/>
        </w:rPr>
        <w:t>选择我校作为第一志愿调剂单位，办理调剂手续，选报调剂志愿时，不仅要选择学科、专业，</w:t>
      </w:r>
      <w:r>
        <w:rPr>
          <w:rStyle w:val="3"/>
          <w:rFonts w:hint="default" w:ascii="仿宋_gb2312" w:hAnsi="仿宋_gb2312" w:eastAsia="仿宋_gb2312" w:cs="仿宋_gb2312"/>
          <w:b w:val="0"/>
          <w:i w:val="0"/>
          <w:caps w:val="0"/>
          <w:color w:val="000000"/>
          <w:spacing w:val="0"/>
          <w:kern w:val="0"/>
          <w:sz w:val="21"/>
          <w:szCs w:val="21"/>
          <w:lang w:val="en-US" w:eastAsia="zh-CN" w:bidi="ar"/>
        </w:rPr>
        <w:t>同时要选择研究方向，缺一不可。</w:t>
      </w:r>
      <w:r>
        <w:rPr>
          <w:rFonts w:hint="default" w:ascii="仿宋_gb2312" w:hAnsi="仿宋_gb2312" w:eastAsia="仿宋_gb2312" w:cs="仿宋_gb2312"/>
          <w:i w:val="0"/>
          <w:caps w:val="0"/>
          <w:color w:val="000000"/>
          <w:spacing w:val="0"/>
          <w:kern w:val="0"/>
          <w:sz w:val="21"/>
          <w:szCs w:val="21"/>
          <w:lang w:val="en-US" w:eastAsia="zh-CN" w:bidi="ar"/>
        </w:rPr>
        <w:t>我校最终以该网站考生提交的调剂信息为准进行调剂。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70"/>
        <w:jc w:val="both"/>
        <w:rPr>
          <w:rFonts w:hint="default" w:ascii="Times New Roman" w:hAnsi="Times New Roman" w:cs="Times New Roman"/>
          <w:color w:val="auto"/>
          <w:sz w:val="21"/>
          <w:szCs w:val="21"/>
        </w:rPr>
      </w:pPr>
      <w:r>
        <w:rPr>
          <w:rFonts w:hint="default" w:ascii="仿宋_gb2312" w:hAnsi="仿宋_gb2312" w:eastAsia="仿宋_gb2312" w:cs="仿宋_gb2312"/>
          <w:i w:val="0"/>
          <w:caps w:val="0"/>
          <w:color w:val="auto"/>
          <w:spacing w:val="0"/>
          <w:kern w:val="0"/>
          <w:sz w:val="21"/>
          <w:szCs w:val="21"/>
          <w:lang w:val="en-US" w:eastAsia="zh-CN" w:bidi="ar"/>
        </w:rPr>
        <w:t>2.我校根据考生提交调剂志愿的报考单位、考研初试成绩、本科毕业学校、毕业专业等条件对考生进行筛选，</w:t>
      </w:r>
      <w:r>
        <w:rPr>
          <w:rFonts w:hint="eastAsia" w:ascii="仿宋_gb2312" w:hAnsi="仿宋_gb2312" w:eastAsia="仿宋_gb2312" w:cs="仿宋_gb2312"/>
          <w:i w:val="0"/>
          <w:caps w:val="0"/>
          <w:color w:val="auto"/>
          <w:spacing w:val="0"/>
          <w:kern w:val="0"/>
          <w:sz w:val="21"/>
          <w:szCs w:val="21"/>
          <w:lang w:val="en-US" w:eastAsia="zh-CN" w:bidi="ar"/>
        </w:rPr>
        <w:t>筛选依据考生初试统考（英语、政治）成绩，以拟调剂名额3倍的人数比例</w:t>
      </w:r>
      <w:r>
        <w:rPr>
          <w:rFonts w:hint="default" w:ascii="仿宋_gb2312" w:hAnsi="仿宋_gb2312" w:eastAsia="仿宋_gb2312" w:cs="仿宋_gb2312"/>
          <w:i w:val="0"/>
          <w:caps w:val="0"/>
          <w:color w:val="auto"/>
          <w:spacing w:val="0"/>
          <w:kern w:val="0"/>
          <w:sz w:val="21"/>
          <w:szCs w:val="21"/>
          <w:lang w:val="en-US" w:eastAsia="zh-CN" w:bidi="ar"/>
        </w:rPr>
        <w:t>通过</w:t>
      </w:r>
      <w:r>
        <w:rPr>
          <w:rFonts w:hint="eastAsia" w:ascii="仿宋_gb2312" w:hAnsi="仿宋_gb2312" w:eastAsia="仿宋_gb2312" w:cs="仿宋_gb2312"/>
          <w:i w:val="0"/>
          <w:caps w:val="0"/>
          <w:color w:val="auto"/>
          <w:spacing w:val="0"/>
          <w:kern w:val="0"/>
          <w:sz w:val="21"/>
          <w:szCs w:val="21"/>
          <w:lang w:val="en-US" w:eastAsia="zh-CN" w:bidi="ar"/>
        </w:rPr>
        <w:t>研究生处</w:t>
      </w:r>
      <w:r>
        <w:rPr>
          <w:rFonts w:hint="default" w:ascii="仿宋_gb2312" w:hAnsi="仿宋_gb2312" w:eastAsia="仿宋_gb2312" w:cs="仿宋_gb2312"/>
          <w:i w:val="0"/>
          <w:caps w:val="0"/>
          <w:color w:val="auto"/>
          <w:spacing w:val="0"/>
          <w:kern w:val="0"/>
          <w:sz w:val="21"/>
          <w:szCs w:val="21"/>
          <w:lang w:val="en-US" w:eastAsia="zh-CN" w:bidi="ar"/>
        </w:rPr>
        <w:t>网站给考生发送复试通知。</w:t>
      </w:r>
      <w:r>
        <w:rPr>
          <w:rFonts w:hint="eastAsia" w:ascii="仿宋_gb2312" w:hAnsi="仿宋_gb2312" w:eastAsia="仿宋_gb2312" w:cs="仿宋_gb2312"/>
          <w:i w:val="0"/>
          <w:caps w:val="0"/>
          <w:color w:val="auto"/>
          <w:spacing w:val="0"/>
          <w:kern w:val="0"/>
          <w:sz w:val="21"/>
          <w:szCs w:val="21"/>
          <w:lang w:val="en-US" w:eastAsia="zh-CN" w:bidi="ar"/>
        </w:rPr>
        <w:t>在同等条件情况下，调剂考生如在本科期间参加过省级以上美术作品展或在省级期刊发表过学术论文者（以参展证书或期刊原件</w:t>
      </w:r>
      <w:bookmarkStart w:id="0" w:name="_GoBack"/>
      <w:bookmarkEnd w:id="0"/>
      <w:r>
        <w:rPr>
          <w:rFonts w:hint="eastAsia" w:ascii="仿宋_gb2312" w:hAnsi="仿宋_gb2312" w:eastAsia="仿宋_gb2312" w:cs="仿宋_gb2312"/>
          <w:i w:val="0"/>
          <w:caps w:val="0"/>
          <w:color w:val="auto"/>
          <w:spacing w:val="0"/>
          <w:kern w:val="0"/>
          <w:sz w:val="21"/>
          <w:szCs w:val="21"/>
          <w:lang w:val="en-US" w:eastAsia="zh-CN" w:bidi="ar"/>
        </w:rPr>
        <w:t>为依据）优先考虑。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70"/>
        <w:jc w:val="both"/>
        <w:rPr>
          <w:rFonts w:hint="default" w:ascii="Times New Roman" w:hAnsi="Times New Roman" w:cs="Times New Roman"/>
          <w:sz w:val="21"/>
          <w:szCs w:val="21"/>
        </w:rPr>
      </w:pPr>
      <w:r>
        <w:rPr>
          <w:rFonts w:hint="default" w:ascii="仿宋_gb2312" w:hAnsi="仿宋_gb2312" w:eastAsia="仿宋_gb2312" w:cs="仿宋_gb2312"/>
          <w:i w:val="0"/>
          <w:caps w:val="0"/>
          <w:color w:val="000000"/>
          <w:spacing w:val="0"/>
          <w:kern w:val="0"/>
          <w:sz w:val="21"/>
          <w:szCs w:val="21"/>
          <w:lang w:val="en-US" w:eastAsia="zh-CN" w:bidi="ar"/>
        </w:rPr>
        <w:t>3.考生要及时点击“确认”同意参加复试，我校对已同意参加复试的考生安排复试。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370"/>
        <w:jc w:val="both"/>
        <w:rPr>
          <w:rFonts w:hint="default" w:ascii="Times New Roman" w:hAnsi="Times New Roman" w:cs="Times New Roman"/>
          <w:sz w:val="21"/>
          <w:szCs w:val="21"/>
        </w:rPr>
      </w:pPr>
      <w:r>
        <w:rPr>
          <w:rFonts w:hint="default" w:ascii="仿宋_gb2312" w:hAnsi="仿宋_gb2312" w:eastAsia="仿宋_gb2312" w:cs="仿宋_gb2312"/>
          <w:i w:val="0"/>
          <w:caps w:val="0"/>
          <w:color w:val="000000"/>
          <w:spacing w:val="0"/>
          <w:kern w:val="0"/>
          <w:sz w:val="21"/>
          <w:szCs w:val="21"/>
          <w:lang w:val="en-US" w:eastAsia="zh-CN" w:bidi="ar"/>
        </w:rPr>
        <w:t>4.根据复试结果，我校将拟录取的考生置于“中国研究生招生信息网”调剂系统中“待录取状态”，考生要及时确认。确认的考生即视为被我校录取。</w:t>
      </w:r>
      <w:r>
        <w:rPr>
          <w:rFonts w:hint="eastAsia" w:ascii="仿宋_gb2312" w:hAnsi="仿宋_gb2312" w:eastAsia="仿宋_gb2312" w:cs="仿宋_gb2312"/>
          <w:i w:val="0"/>
          <w:caps w:val="0"/>
          <w:color w:val="000000"/>
          <w:spacing w:val="0"/>
          <w:kern w:val="0"/>
          <w:sz w:val="21"/>
          <w:szCs w:val="21"/>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990"/>
        <w:jc w:val="right"/>
        <w:rPr>
          <w:rFonts w:hint="eastAsia" w:ascii="仿宋_gb2312" w:hAnsi="仿宋_gb2312" w:eastAsia="仿宋_gb2312" w:cs="仿宋_gb2312"/>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990"/>
        <w:jc w:val="right"/>
        <w:rPr>
          <w:rFonts w:hint="eastAsia" w:ascii="仿宋_gb2312" w:hAnsi="仿宋_gb2312" w:eastAsia="仿宋_gb2312" w:cs="仿宋_gb2312"/>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990"/>
        <w:jc w:val="right"/>
        <w:rPr>
          <w:rFonts w:hint="eastAsia" w:ascii="仿宋_gb2312" w:hAnsi="仿宋_gb2312" w:eastAsia="仿宋_gb2312" w:cs="仿宋_gb2312"/>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990"/>
        <w:jc w:val="right"/>
        <w:rPr>
          <w:rFonts w:hint="eastAsia" w:ascii="仿宋_gb2312" w:hAnsi="仿宋_gb2312" w:eastAsia="仿宋_gb2312" w:cs="仿宋_gb2312"/>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990"/>
        <w:jc w:val="right"/>
        <w:rPr>
          <w:rFonts w:hint="eastAsia" w:ascii="仿宋_gb2312" w:hAnsi="仿宋_gb2312" w:eastAsia="仿宋_gb2312" w:cs="仿宋_gb2312"/>
          <w:i w:val="0"/>
          <w:caps w:val="0"/>
          <w:color w:val="000000"/>
          <w:spacing w:val="0"/>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2990"/>
        <w:jc w:val="right"/>
        <w:rPr>
          <w:rFonts w:hint="default" w:ascii="Times New Roman" w:hAnsi="Times New Roman" w:cs="Times New Roman"/>
          <w:sz w:val="21"/>
          <w:szCs w:val="21"/>
        </w:rPr>
      </w:pPr>
      <w:r>
        <w:rPr>
          <w:rFonts w:hint="eastAsia" w:ascii="仿宋_gb2312" w:hAnsi="仿宋_gb2312" w:eastAsia="仿宋_gb2312" w:cs="仿宋_gb2312"/>
          <w:i w:val="0"/>
          <w:caps w:val="0"/>
          <w:color w:val="000000"/>
          <w:spacing w:val="0"/>
          <w:kern w:val="0"/>
          <w:sz w:val="21"/>
          <w:szCs w:val="21"/>
          <w:lang w:val="en-US" w:eastAsia="zh-CN" w:bidi="ar"/>
        </w:rPr>
        <w:t xml:space="preserve">美术系      </w:t>
      </w:r>
    </w:p>
    <w:p>
      <w:pPr>
        <w:wordWrap w:val="0"/>
        <w:jc w:val="right"/>
        <w:rPr>
          <w:rFonts w:hint="default" w:ascii="仿宋_gb2312" w:hAnsi="仿宋_gb2312" w:eastAsia="仿宋_gb2312" w:cs="仿宋_gb2312"/>
          <w:i w:val="0"/>
          <w:caps w:val="0"/>
          <w:color w:val="000000"/>
          <w:spacing w:val="0"/>
          <w:kern w:val="0"/>
          <w:sz w:val="21"/>
          <w:szCs w:val="21"/>
          <w:lang w:val="en-US" w:eastAsia="zh-CN" w:bidi="ar"/>
        </w:rPr>
      </w:pPr>
    </w:p>
    <w:p>
      <w:pPr>
        <w:wordWrap w:val="0"/>
        <w:jc w:val="right"/>
      </w:pPr>
      <w:r>
        <w:rPr>
          <w:rFonts w:hint="default" w:ascii="仿宋_gb2312" w:hAnsi="仿宋_gb2312" w:eastAsia="仿宋_gb2312" w:cs="仿宋_gb2312"/>
          <w:i w:val="0"/>
          <w:caps w:val="0"/>
          <w:color w:val="000000"/>
          <w:spacing w:val="0"/>
          <w:kern w:val="0"/>
          <w:sz w:val="21"/>
          <w:szCs w:val="21"/>
          <w:lang w:val="en-US" w:eastAsia="zh-CN" w:bidi="ar"/>
        </w:rPr>
        <w:t>2018年3月</w:t>
      </w:r>
      <w:r>
        <w:rPr>
          <w:rFonts w:hint="eastAsia" w:ascii="仿宋_gb2312" w:hAnsi="仿宋_gb2312" w:eastAsia="仿宋_gb2312" w:cs="仿宋_gb2312"/>
          <w:i w:val="0"/>
          <w:caps w:val="0"/>
          <w:color w:val="000000"/>
          <w:spacing w:val="0"/>
          <w:kern w:val="0"/>
          <w:sz w:val="21"/>
          <w:szCs w:val="21"/>
          <w:lang w:val="en-US" w:eastAsia="zh-CN" w:bidi="ar"/>
        </w:rPr>
        <w:t xml:space="preserve">22日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944E8"/>
    <w:rsid w:val="136F2CC0"/>
    <w:rsid w:val="1E40763A"/>
    <w:rsid w:val="24151E4A"/>
    <w:rsid w:val="295640FB"/>
    <w:rsid w:val="55F944E8"/>
    <w:rsid w:val="5FEE0AD7"/>
    <w:rsid w:val="6D535020"/>
    <w:rsid w:val="705B1E39"/>
    <w:rsid w:val="7B7B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u\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2018-03-22T10:42:00Z</dcterms:created>
  <dc:creator>liyu</dc:creator>
  <cp:lastModifiedBy>liyu</cp:lastModifiedBy>
  <dcterms:modified xsi:type="dcterms:W3CDTF">2018-03-23T07:22:27Z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