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窗体顶端</w:t>
      </w:r>
    </w:p>
    <w:p>
      <w:pPr>
        <w:pStyle w:val="5"/>
        <w:widowControl/>
        <w:spacing w:before="150" w:line="540" w:lineRule="atLeast"/>
        <w:jc w:val="center"/>
        <w:rPr>
          <w:rFonts w:hint="eastAsia" w:ascii="宋体" w:hAnsi="宋体" w:cs="宋体"/>
          <w:color w:val="000000"/>
          <w:sz w:val="32"/>
          <w:szCs w:val="32"/>
        </w:rPr>
      </w:pPr>
      <w:r>
        <w:rPr>
          <w:rFonts w:hint="eastAsia" w:ascii="宋体" w:hAnsi="宋体" w:cs="宋体"/>
          <w:color w:val="000000"/>
          <w:sz w:val="32"/>
          <w:szCs w:val="32"/>
          <w:lang w:val="en-US" w:eastAsia="zh-CN"/>
        </w:rPr>
        <w:t xml:space="preserve">   </w:t>
      </w:r>
      <w:r>
        <w:rPr>
          <w:rFonts w:hint="eastAsia" w:ascii="宋体" w:hAnsi="宋体" w:cs="宋体"/>
          <w:color w:val="000000"/>
          <w:sz w:val="32"/>
          <w:szCs w:val="32"/>
        </w:rPr>
        <w:t>宁夏大学</w:t>
      </w:r>
      <w:r>
        <w:rPr>
          <w:rFonts w:hint="eastAsia" w:ascii="宋体" w:hAnsi="宋体" w:cs="宋体"/>
          <w:color w:val="000000"/>
          <w:sz w:val="32"/>
          <w:szCs w:val="32"/>
          <w:lang w:val="en-US" w:eastAsia="zh-CN"/>
        </w:rPr>
        <w:t>体育学院</w:t>
      </w:r>
      <w:r>
        <w:rPr>
          <w:rFonts w:hint="eastAsia" w:ascii="宋体" w:hAnsi="宋体" w:cs="宋体"/>
          <w:color w:val="000000"/>
          <w:sz w:val="32"/>
          <w:szCs w:val="32"/>
        </w:rPr>
        <w:t>2018年硕士研究生招生</w:t>
      </w:r>
    </w:p>
    <w:p>
      <w:pPr>
        <w:pStyle w:val="5"/>
        <w:widowControl/>
        <w:spacing w:before="150" w:line="540" w:lineRule="atLeast"/>
        <w:jc w:val="center"/>
        <w:rPr>
          <w:rFonts w:ascii="宋体" w:hAnsi="宋体" w:cs="宋体"/>
          <w:sz w:val="32"/>
          <w:szCs w:val="32"/>
        </w:rPr>
      </w:pPr>
      <w:r>
        <w:rPr>
          <w:rFonts w:hint="eastAsia" w:ascii="宋体" w:hAnsi="宋体" w:cs="宋体"/>
          <w:color w:val="000000"/>
          <w:sz w:val="32"/>
          <w:szCs w:val="32"/>
        </w:rPr>
        <w:t>复试工作</w:t>
      </w:r>
      <w:r>
        <w:rPr>
          <w:rFonts w:hint="eastAsia" w:ascii="宋体" w:hAnsi="宋体" w:cs="宋体"/>
          <w:color w:val="000000"/>
          <w:sz w:val="32"/>
          <w:szCs w:val="32"/>
          <w:lang w:val="en-US" w:eastAsia="zh-CN"/>
        </w:rPr>
        <w:t>细则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复试工作是硕士研究生考试的重要组成部分，是保证生源质量的关键环节，为保证我校硕士研究生招生复试工作公平、公正、公开进行，根据《</w:t>
      </w:r>
      <w:r>
        <w:rPr>
          <w:rFonts w:hint="eastAsia" w:ascii="仿宋" w:hAnsi="仿宋" w:eastAsia="仿宋" w:cs="仿宋"/>
          <w:color w:val="000000"/>
          <w:sz w:val="28"/>
          <w:szCs w:val="28"/>
          <w:shd w:val="clear" w:color="auto" w:fill="FFFFFF"/>
        </w:rPr>
        <w:t>教育部关于印发</w:t>
      </w:r>
      <w:r>
        <w:rPr>
          <w:rFonts w:ascii="仿宋" w:hAnsi="仿宋" w:eastAsia="仿宋" w:cs="仿宋"/>
          <w:color w:val="000000"/>
          <w:kern w:val="2"/>
          <w:sz w:val="21"/>
          <w:szCs w:val="21"/>
          <w:shd w:val="clear" w:color="auto" w:fill="FFFFFF"/>
        </w:rPr>
        <w:t>&lt;</w:t>
      </w:r>
      <w:r>
        <w:rPr>
          <w:rFonts w:ascii="仿宋" w:hAnsi="仿宋" w:eastAsia="仿宋" w:cs="仿宋"/>
          <w:color w:val="000000"/>
          <w:kern w:val="2"/>
          <w:sz w:val="28"/>
          <w:szCs w:val="28"/>
        </w:rPr>
        <w:t>2018</w:t>
      </w:r>
      <w:r>
        <w:rPr>
          <w:rFonts w:hint="eastAsia" w:ascii="仿宋" w:hAnsi="仿宋" w:eastAsia="仿宋" w:cs="仿宋"/>
          <w:color w:val="000000"/>
          <w:kern w:val="2"/>
          <w:sz w:val="28"/>
          <w:szCs w:val="28"/>
        </w:rPr>
        <w:t>年</w:t>
      </w:r>
      <w:r>
        <w:rPr>
          <w:rFonts w:hint="eastAsia" w:ascii="仿宋" w:hAnsi="仿宋" w:eastAsia="仿宋" w:cs="仿宋"/>
          <w:color w:val="000000"/>
          <w:sz w:val="28"/>
          <w:szCs w:val="28"/>
        </w:rPr>
        <w:t>全国硕士研究生招生工作管理办法&gt;》</w:t>
      </w:r>
      <w:r>
        <w:rPr>
          <w:rFonts w:hint="eastAsia" w:ascii="仿宋" w:hAnsi="仿宋" w:eastAsia="仿宋" w:cs="仿宋"/>
          <w:color w:val="000000"/>
          <w:kern w:val="2"/>
          <w:sz w:val="28"/>
          <w:szCs w:val="28"/>
        </w:rPr>
        <w:t>（教学</w:t>
      </w:r>
      <w:r>
        <w:rPr>
          <w:rFonts w:ascii="仿宋" w:hAnsi="仿宋" w:eastAsia="仿宋" w:cs="仿宋"/>
          <w:color w:val="000000"/>
          <w:kern w:val="2"/>
          <w:sz w:val="28"/>
          <w:szCs w:val="28"/>
        </w:rPr>
        <w:t>[2017]9</w:t>
      </w:r>
      <w:r>
        <w:rPr>
          <w:rFonts w:hint="eastAsia" w:ascii="仿宋" w:hAnsi="仿宋" w:eastAsia="仿宋" w:cs="仿宋"/>
          <w:color w:val="000000"/>
          <w:kern w:val="2"/>
          <w:sz w:val="28"/>
          <w:szCs w:val="28"/>
        </w:rPr>
        <w:t>号）</w:t>
      </w:r>
      <w:r>
        <w:rPr>
          <w:rFonts w:hint="eastAsia" w:ascii="仿宋" w:hAnsi="仿宋" w:eastAsia="仿宋" w:cs="仿宋"/>
          <w:color w:val="000000"/>
          <w:sz w:val="28"/>
          <w:szCs w:val="28"/>
        </w:rPr>
        <w:t>《教育部关于加强硕士研究生招生复试工作的指导意见》（教学[2006]4号），结合宁夏大学的实际情况，特制定本办法。</w:t>
      </w:r>
    </w:p>
    <w:p>
      <w:pPr>
        <w:pStyle w:val="5"/>
        <w:widowControl/>
        <w:spacing w:line="560" w:lineRule="exact"/>
        <w:ind w:firstLine="562" w:firstLineChars="200"/>
        <w:rPr>
          <w:sz w:val="28"/>
          <w:szCs w:val="28"/>
        </w:rPr>
      </w:pPr>
      <w:r>
        <w:rPr>
          <w:rFonts w:hint="eastAsia" w:ascii="Verdana" w:hAnsi="Verdana" w:cs="Verdana"/>
          <w:b/>
          <w:color w:val="000000"/>
          <w:sz w:val="28"/>
          <w:szCs w:val="28"/>
        </w:rPr>
        <w:t>一、复试工作原则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(一)坚持科学选拔。根据各学科对高层次人才的要求，采用多样化的考察方式、方法，确保生源质量。</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（二）坚持公平、公正、公开的原则。做到政策透明、程序规范、结果公开。</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（三）坚持全面考察，突出重点，在对考生德智体全面考察的基础上，突出对专业素质、实践能力以及创新能力等方面的考核。</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（四）坚持客观评价。业务课考核成绩实行量化，综合素质考核也应有明确的等次结果。</w:t>
      </w:r>
    </w:p>
    <w:p>
      <w:pPr>
        <w:pStyle w:val="5"/>
        <w:widowControl/>
        <w:spacing w:line="560" w:lineRule="exact"/>
        <w:ind w:firstLine="562" w:firstLineChars="200"/>
        <w:rPr>
          <w:sz w:val="28"/>
          <w:szCs w:val="28"/>
        </w:rPr>
      </w:pPr>
      <w:r>
        <w:rPr>
          <w:rFonts w:hint="eastAsia" w:ascii="Verdana" w:hAnsi="Verdana" w:cs="Verdana"/>
          <w:b/>
          <w:color w:val="000000"/>
          <w:sz w:val="28"/>
          <w:szCs w:val="28"/>
        </w:rPr>
        <w:t>二、复试组织</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（一）学校招生工作领导小组，负责对复试工作的领导和统筹管理。</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成立招生复试工作领导小组，由本单位主要领导担任组长，</w:t>
      </w:r>
      <w:r>
        <w:rPr>
          <w:rFonts w:hint="eastAsia" w:ascii="仿宋" w:hAnsi="仿宋" w:eastAsia="仿宋" w:cs="仿宋"/>
          <w:sz w:val="28"/>
          <w:szCs w:val="28"/>
        </w:rPr>
        <w:t>制定本单位复试工作具体方案并组织实施。</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sz w:val="28"/>
          <w:szCs w:val="28"/>
        </w:rPr>
        <w:t>（三）各专业的复试按专业和复试人数组成若干复试小组，必须对参加复试的小组成员进行专门培训。每个复试</w:t>
      </w:r>
      <w:r>
        <w:rPr>
          <w:rFonts w:hint="eastAsia" w:ascii="仿宋" w:hAnsi="仿宋" w:eastAsia="仿宋" w:cs="仿宋"/>
          <w:color w:val="000000"/>
          <w:sz w:val="28"/>
          <w:szCs w:val="28"/>
        </w:rPr>
        <w:t>小组成员一般不少于5人。</w:t>
      </w:r>
      <w:r>
        <w:rPr>
          <w:rFonts w:hint="eastAsia" w:ascii="仿宋" w:hAnsi="仿宋" w:eastAsia="仿宋" w:cs="仿宋"/>
          <w:color w:val="000000" w:themeColor="text1"/>
          <w:sz w:val="28"/>
          <w:szCs w:val="28"/>
        </w:rPr>
        <w:t>复试小组成员应包括专业的学科带头人、学术骨干、硕士生导师，指定1人为组长。复试小组的主要职责为：</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1、在学校招生工作领导小组和</w:t>
      </w:r>
      <w:r>
        <w:rPr>
          <w:rFonts w:hint="eastAsia" w:ascii="仿宋" w:hAnsi="仿宋" w:eastAsia="仿宋" w:cs="仿宋"/>
          <w:color w:val="000000" w:themeColor="text1"/>
          <w:sz w:val="28"/>
          <w:szCs w:val="28"/>
          <w:lang w:val="en-US" w:eastAsia="zh-CN"/>
        </w:rPr>
        <w:t>我院</w:t>
      </w:r>
      <w:r>
        <w:rPr>
          <w:rFonts w:hint="eastAsia" w:ascii="仿宋" w:hAnsi="仿宋" w:eastAsia="仿宋" w:cs="仿宋"/>
          <w:color w:val="000000" w:themeColor="text1"/>
          <w:sz w:val="28"/>
          <w:szCs w:val="28"/>
        </w:rPr>
        <w:t>工作领导小组的指导下具体实施面试和实践能力等考核；</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2、负责确定考生面试具体内容、评分标准、程序，并具体组织实施。复试小组成员必须现场独立评分。有直系亲属参加复试的教师应认真执行回避制度。</w:t>
      </w:r>
    </w:p>
    <w:p>
      <w:pPr>
        <w:pStyle w:val="5"/>
        <w:widowControl/>
        <w:spacing w:line="56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（四）同一学科（专业）各复试小组的面试方式、时间、试题难度和成绩评定标准原则上应统一。</w:t>
      </w:r>
    </w:p>
    <w:p>
      <w:pPr>
        <w:pStyle w:val="5"/>
        <w:widowControl/>
        <w:spacing w:line="560" w:lineRule="exact"/>
        <w:ind w:firstLine="56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（五）</w:t>
      </w:r>
      <w:r>
        <w:rPr>
          <w:rFonts w:hint="eastAsia" w:ascii="仿宋" w:hAnsi="仿宋" w:eastAsia="仿宋" w:cs="仿宋"/>
          <w:color w:val="000000" w:themeColor="text1"/>
          <w:sz w:val="28"/>
          <w:szCs w:val="28"/>
          <w:lang w:val="en-US" w:eastAsia="zh-CN"/>
        </w:rPr>
        <w:t>本</w:t>
      </w:r>
      <w:r>
        <w:rPr>
          <w:rFonts w:hint="eastAsia" w:ascii="仿宋" w:hAnsi="仿宋" w:eastAsia="仿宋" w:cs="仿宋"/>
          <w:color w:val="000000" w:themeColor="text1"/>
          <w:sz w:val="28"/>
          <w:szCs w:val="28"/>
        </w:rPr>
        <w:t>学院要制订复试工作人员的遴选、培训办法和行为规范。要选派经验丰富、业务水平高、公道正派的人员参与复试工作；要对所有人员进行政策、业务、纪律等方面的培训，使其明确工作纪律和工作程序、评判规则和评判标准；要明确招生导师在复试工作中的权利、责任和纪律，规范其工作行为。</w:t>
      </w:r>
    </w:p>
    <w:p>
      <w:pPr>
        <w:pStyle w:val="5"/>
        <w:widowControl/>
        <w:spacing w:line="560" w:lineRule="exact"/>
        <w:ind w:firstLine="560" w:firstLineChars="200"/>
        <w:rPr>
          <w:sz w:val="28"/>
          <w:szCs w:val="28"/>
        </w:rPr>
      </w:pPr>
      <w:r>
        <w:rPr>
          <w:rFonts w:hint="eastAsia" w:ascii="仿宋" w:hAnsi="仿宋" w:eastAsia="仿宋" w:cs="仿宋"/>
          <w:color w:val="000000"/>
          <w:sz w:val="28"/>
          <w:szCs w:val="28"/>
        </w:rPr>
        <w:t>（六）各专业复试面试必须现场录音、录像。</w:t>
      </w:r>
    </w:p>
    <w:p>
      <w:pPr>
        <w:pStyle w:val="5"/>
        <w:widowControl/>
        <w:spacing w:line="560" w:lineRule="exact"/>
        <w:ind w:firstLine="562" w:firstLineChars="200"/>
        <w:rPr>
          <w:sz w:val="28"/>
          <w:szCs w:val="28"/>
        </w:rPr>
      </w:pPr>
      <w:r>
        <w:rPr>
          <w:rFonts w:hint="eastAsia" w:ascii="Verdana" w:hAnsi="Verdana" w:cs="Verdana"/>
          <w:b/>
          <w:color w:val="000000"/>
          <w:sz w:val="28"/>
          <w:szCs w:val="28"/>
        </w:rPr>
        <w:t>三、复试人选</w:t>
      </w:r>
    </w:p>
    <w:p>
      <w:pPr>
        <w:pStyle w:val="5"/>
        <w:widowControl/>
        <w:ind w:firstLine="560" w:firstLineChars="200"/>
        <w:rPr>
          <w:rFonts w:ascii="仿宋" w:hAnsi="仿宋" w:eastAsia="仿宋" w:cs="仿宋"/>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5"/>
        <w:widowControl/>
        <w:spacing w:line="560" w:lineRule="exact"/>
        <w:ind w:firstLine="562" w:firstLineChars="200"/>
        <w:rPr>
          <w:sz w:val="28"/>
          <w:szCs w:val="28"/>
        </w:rPr>
      </w:pPr>
      <w:r>
        <w:rPr>
          <w:rFonts w:hint="eastAsia" w:ascii="Verdana" w:hAnsi="Verdana" w:cs="Verdana"/>
          <w:b/>
          <w:color w:val="000000"/>
          <w:sz w:val="28"/>
          <w:szCs w:val="28"/>
        </w:rPr>
        <w:t>四、复试工作内容及成绩计算</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复试内容包括专业课笔试，专业课面试，英语听力与口语水平测试。</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（一）专业课笔试。所有专业均必须进行专业课笔试。专业课笔试命题由</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按宁夏大学初试命题工作管理规定进行命制，试题（含试卷、答案和评分标准）由</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 xml:space="preserve">妥善保管。复试试题及答案在启封前属国家机密材料。   </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（二）专业课面试。</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themeColor="text1"/>
          <w:sz w:val="28"/>
          <w:szCs w:val="28"/>
        </w:rPr>
        <w:t>面试以口试方式为主</w:t>
      </w:r>
      <w:r>
        <w:rPr>
          <w:rFonts w:hint="eastAsia" w:ascii="仿宋" w:hAnsi="仿宋" w:eastAsia="仿宋" w:cs="仿宋"/>
          <w:color w:val="000000" w:themeColor="text1"/>
          <w:sz w:val="28"/>
          <w:szCs w:val="28"/>
          <w:lang w:eastAsia="zh-CN"/>
        </w:rPr>
        <w:t>，</w:t>
      </w:r>
      <w:r>
        <w:rPr>
          <w:rFonts w:hint="eastAsia" w:ascii="仿宋" w:hAnsi="仿宋" w:eastAsia="仿宋" w:cs="仿宋"/>
          <w:color w:val="000000" w:themeColor="text1"/>
          <w:sz w:val="28"/>
          <w:szCs w:val="28"/>
        </w:rPr>
        <w:t>口试</w:t>
      </w:r>
      <w:r>
        <w:rPr>
          <w:rFonts w:hint="eastAsia" w:ascii="仿宋" w:hAnsi="仿宋" w:eastAsia="仿宋" w:cs="仿宋"/>
          <w:color w:val="000000"/>
          <w:sz w:val="28"/>
          <w:szCs w:val="28"/>
        </w:rPr>
        <w:t>采用试题事先命制、装袋，考生现场抽题回答的形式进行。</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（三）英语听力与口语水平测试。考生（非英语专业）的听力与口语能力水平测试由</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组织安排，并制定相应测试办法和明确的评分标准，对于听力、口语成绩偏低的考生，学校将根据情况，慎重录取。</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四</w:t>
      </w:r>
      <w:r>
        <w:rPr>
          <w:rFonts w:hint="eastAsia" w:ascii="仿宋" w:hAnsi="仿宋" w:eastAsia="仿宋" w:cs="仿宋"/>
          <w:color w:val="000000"/>
          <w:sz w:val="28"/>
          <w:szCs w:val="28"/>
        </w:rPr>
        <w:t>）复试总分为100分，其中专业课笔试占45％，专业课面试占35％，英语听力与口语水平测试占20％。专业课笔试时间为2小时，专业课面试时间每个考生不少于20分钟，英语听力与口语水平测试每个考生不少于10分钟。</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rPr>
        <w:t>）复试成绩报送。</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可根据实际情况自行确定复试各环节成绩总分值，但最后报送研究生院的考生的复试总成绩均须折合为百分制。复试总成绩由专业课笔试、专业课面试、英语听力与口语水平测试的成绩加权后组成。复试结束后，</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及时将复试成绩报送研究生院。</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rPr>
        <w:t xml:space="preserve">）录取总成绩。复试总成绩在60分以上者（含60分）其复试总成绩与初试成绩加权求和为最后的录取总成绩，其中初试成绩权重占60％，复试成绩权重占40％。学校依据考生录取总成绩的排序依次择优录取。 </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七</w:t>
      </w:r>
      <w:r>
        <w:rPr>
          <w:rFonts w:hint="eastAsia" w:ascii="仿宋" w:hAnsi="仿宋" w:eastAsia="仿宋" w:cs="仿宋"/>
          <w:color w:val="000000"/>
          <w:sz w:val="28"/>
          <w:szCs w:val="28"/>
        </w:rPr>
        <w:t>）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八</w:t>
      </w:r>
      <w:r>
        <w:rPr>
          <w:rFonts w:hint="eastAsia" w:ascii="仿宋" w:hAnsi="仿宋" w:eastAsia="仿宋" w:cs="仿宋"/>
          <w:color w:val="000000"/>
          <w:sz w:val="28"/>
          <w:szCs w:val="28"/>
        </w:rPr>
        <w:t>）</w:t>
      </w:r>
      <w:r>
        <w:rPr>
          <w:rFonts w:hint="eastAsia" w:ascii="仿宋" w:hAnsi="仿宋" w:eastAsia="仿宋" w:cs="仿宋"/>
          <w:color w:val="000000" w:themeColor="text1"/>
          <w:sz w:val="28"/>
          <w:szCs w:val="28"/>
        </w:rPr>
        <w:t>面试成绩低于60分或</w:t>
      </w:r>
      <w:r>
        <w:rPr>
          <w:rFonts w:hint="eastAsia" w:ascii="仿宋" w:hAnsi="仿宋" w:eastAsia="仿宋" w:cs="仿宋"/>
          <w:color w:val="000000"/>
          <w:sz w:val="28"/>
          <w:szCs w:val="28"/>
        </w:rPr>
        <w:t>复试总成绩低于60分，均视为复试不合格，不予录取。</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九</w:t>
      </w:r>
      <w:r>
        <w:rPr>
          <w:rFonts w:hint="eastAsia" w:ascii="仿宋" w:hAnsi="仿宋" w:eastAsia="仿宋" w:cs="仿宋"/>
          <w:color w:val="000000"/>
          <w:sz w:val="28"/>
          <w:szCs w:val="28"/>
        </w:rPr>
        <w:t>）复试期间还将进行体检、政审及思想政治素质和品德等其它情况审查，审查不合格者不予录取。</w:t>
      </w:r>
    </w:p>
    <w:p>
      <w:pPr>
        <w:pStyle w:val="5"/>
        <w:widowControl/>
        <w:spacing w:line="560" w:lineRule="exact"/>
        <w:ind w:firstLine="562" w:firstLineChars="200"/>
        <w:rPr>
          <w:sz w:val="28"/>
          <w:szCs w:val="28"/>
        </w:rPr>
      </w:pPr>
      <w:r>
        <w:rPr>
          <w:rFonts w:hint="eastAsia" w:ascii="Verdana" w:hAnsi="Verdana" w:cs="Verdana"/>
          <w:b/>
          <w:color w:val="000000"/>
          <w:sz w:val="28"/>
          <w:szCs w:val="28"/>
        </w:rPr>
        <w:t>五、复试的监督与复议</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（一）实行责任制度和责任追究制度。</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研究生招生复试工作领导小组对复试过程和复试结果全面负责。要完善对复试工作过程的监督，严肃处理违纪、违规事件。</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（二）实行监督制度和巡视制度。</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成立由党委（总支）书记或纪检委员为组长的监督小组，对本单位复试工作实施全程监督；校纪委（监审处）对全校复试工作进行全面监督检查，并协助研究生院、宁夏教育考试院对复试工作开展巡视。</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（三）实行信息公布制度。复试基本分数线、复试工作办法等信息按规定的时间及时公布。</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（四）实行复议制度。要保证投诉、申诉和监督渠道的畅通</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负责解释。</w:t>
      </w:r>
    </w:p>
    <w:p>
      <w:pPr>
        <w:pStyle w:val="5"/>
        <w:widowControl/>
        <w:spacing w:line="560" w:lineRule="exact"/>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（五）增强复试录取工作透明度，坚决抵制不正之风。研究生院、校监审处将监督、抽检和配合</w:t>
      </w:r>
      <w:r>
        <w:rPr>
          <w:rFonts w:hint="eastAsia" w:ascii="仿宋" w:hAnsi="仿宋" w:eastAsia="仿宋" w:cs="仿宋"/>
          <w:color w:val="000000"/>
          <w:sz w:val="28"/>
          <w:szCs w:val="28"/>
          <w:lang w:val="en-US" w:eastAsia="zh-CN"/>
        </w:rPr>
        <w:t>体育学院</w:t>
      </w:r>
      <w:r>
        <w:rPr>
          <w:rFonts w:hint="eastAsia" w:ascii="仿宋" w:hAnsi="仿宋" w:eastAsia="仿宋" w:cs="仿宋"/>
          <w:color w:val="000000"/>
          <w:sz w:val="28"/>
          <w:szCs w:val="28"/>
        </w:rPr>
        <w:t>的工作，确保学校硕士研究生复试工作的顺利进行。同时，学校纪检部门为考生设立投诉电话（0951-2061117），邮箱：jsc@nxu.edu.cn；研究生院投诉电话（0951-2061096），邮箱：</w:t>
      </w:r>
      <w:r>
        <w:rPr>
          <w:rFonts w:hint="eastAsia" w:ascii="仿宋" w:hAnsi="仿宋" w:eastAsia="仿宋" w:cs="仿宋"/>
          <w:color w:val="000000"/>
          <w:sz w:val="28"/>
          <w:szCs w:val="28"/>
        </w:rPr>
        <w:fldChar w:fldCharType="begin"/>
      </w:r>
      <w:r>
        <w:rPr>
          <w:rFonts w:hint="eastAsia" w:ascii="仿宋" w:hAnsi="仿宋" w:eastAsia="仿宋" w:cs="仿宋"/>
          <w:color w:val="000000"/>
          <w:sz w:val="28"/>
          <w:szCs w:val="28"/>
        </w:rPr>
        <w:instrText xml:space="preserve"> HYPERLINK "mailto:yzb@nxu.edu.cn。" </w:instrText>
      </w:r>
      <w:r>
        <w:rPr>
          <w:rFonts w:hint="eastAsia" w:ascii="仿宋" w:hAnsi="仿宋" w:eastAsia="仿宋" w:cs="仿宋"/>
          <w:color w:val="000000"/>
          <w:sz w:val="28"/>
          <w:szCs w:val="28"/>
        </w:rPr>
        <w:fldChar w:fldCharType="separate"/>
      </w:r>
      <w:r>
        <w:rPr>
          <w:rStyle w:val="7"/>
          <w:rFonts w:hint="eastAsia" w:ascii="仿宋" w:hAnsi="仿宋" w:eastAsia="仿宋" w:cs="仿宋"/>
          <w:sz w:val="28"/>
          <w:szCs w:val="28"/>
        </w:rPr>
        <w:t>yzb@nxu.edu.cn。</w:t>
      </w:r>
      <w:r>
        <w:rPr>
          <w:rFonts w:hint="eastAsia" w:ascii="仿宋" w:hAnsi="仿宋" w:eastAsia="仿宋" w:cs="仿宋"/>
          <w:color w:val="000000"/>
          <w:sz w:val="28"/>
          <w:szCs w:val="28"/>
        </w:rPr>
        <w:fldChar w:fldCharType="end"/>
      </w:r>
    </w:p>
    <w:p>
      <w:pPr>
        <w:pStyle w:val="5"/>
        <w:widowControl/>
        <w:spacing w:line="56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0951-2061213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邮箱：</w:t>
      </w:r>
      <w:r>
        <w:rPr>
          <w:rFonts w:hint="eastAsia" w:ascii="仿宋" w:hAnsi="仿宋" w:eastAsia="仿宋" w:cs="仿宋"/>
          <w:color w:val="000000"/>
          <w:sz w:val="28"/>
          <w:szCs w:val="28"/>
          <w:lang w:val="en-US" w:eastAsia="zh-CN"/>
        </w:rPr>
        <w:fldChar w:fldCharType="begin"/>
      </w:r>
      <w:r>
        <w:rPr>
          <w:rFonts w:hint="eastAsia" w:ascii="仿宋" w:hAnsi="仿宋" w:eastAsia="仿宋" w:cs="仿宋"/>
          <w:color w:val="000000"/>
          <w:sz w:val="28"/>
          <w:szCs w:val="28"/>
          <w:lang w:val="en-US" w:eastAsia="zh-CN"/>
        </w:rPr>
        <w:instrText xml:space="preserve"> HYPERLINK "mailto:sjj@nxu.edu.cn" </w:instrText>
      </w:r>
      <w:r>
        <w:rPr>
          <w:rFonts w:hint="eastAsia" w:ascii="仿宋" w:hAnsi="仿宋" w:eastAsia="仿宋" w:cs="仿宋"/>
          <w:color w:val="000000"/>
          <w:sz w:val="28"/>
          <w:szCs w:val="28"/>
          <w:lang w:val="en-US" w:eastAsia="zh-CN"/>
        </w:rPr>
        <w:fldChar w:fldCharType="separate"/>
      </w:r>
      <w:r>
        <w:rPr>
          <w:rStyle w:val="7"/>
          <w:rFonts w:hint="eastAsia" w:ascii="仿宋" w:hAnsi="仿宋" w:eastAsia="仿宋" w:cs="仿宋"/>
          <w:sz w:val="28"/>
          <w:szCs w:val="28"/>
          <w:lang w:val="en-US" w:eastAsia="zh-CN"/>
        </w:rPr>
        <w:t>sjj@nxu.edu.cn</w:t>
      </w:r>
      <w:r>
        <w:rPr>
          <w:rFonts w:hint="eastAsia" w:ascii="仿宋" w:hAnsi="仿宋" w:eastAsia="仿宋" w:cs="仿宋"/>
          <w:color w:val="000000"/>
          <w:sz w:val="28"/>
          <w:szCs w:val="28"/>
          <w:lang w:val="en-US" w:eastAsia="zh-CN"/>
        </w:rPr>
        <w:fldChar w:fldCharType="end"/>
      </w:r>
      <w:r>
        <w:rPr>
          <w:rFonts w:hint="eastAsia" w:ascii="仿宋" w:hAnsi="仿宋" w:eastAsia="仿宋" w:cs="仿宋"/>
          <w:color w:val="000000"/>
          <w:sz w:val="28"/>
          <w:szCs w:val="28"/>
          <w:lang w:val="en-US" w:eastAsia="zh-CN"/>
        </w:rPr>
        <w:t xml:space="preserve"> </w:t>
      </w:r>
      <w:bookmarkStart w:id="0" w:name="_GoBack"/>
      <w:bookmarkEnd w:id="0"/>
      <w:r>
        <w:rPr>
          <w:rFonts w:hint="eastAsia" w:ascii="仿宋" w:hAnsi="仿宋" w:eastAsia="仿宋" w:cs="仿宋"/>
          <w:color w:val="000000"/>
          <w:sz w:val="28"/>
          <w:szCs w:val="28"/>
          <w:lang w:val="en-US" w:eastAsia="zh-CN"/>
        </w:rPr>
        <w:t xml:space="preserve"> 体育学院投诉电话</w:t>
      </w:r>
    </w:p>
    <w:p>
      <w:pPr>
        <w:pStyle w:val="10"/>
        <w:spacing w:line="560" w:lineRule="exact"/>
        <w:rPr>
          <w:rFonts w:ascii="仿宋" w:hAnsi="仿宋" w:eastAsia="仿宋" w:cs="仿宋"/>
          <w:sz w:val="28"/>
          <w:szCs w:val="28"/>
        </w:rPr>
      </w:pPr>
      <w:r>
        <w:rPr>
          <w:rFonts w:hint="eastAsia" w:ascii="仿宋" w:hAnsi="仿宋" w:eastAsia="仿宋" w:cs="仿宋"/>
          <w:sz w:val="28"/>
          <w:szCs w:val="28"/>
        </w:rPr>
        <w:t>窗体底端</w:t>
      </w:r>
    </w:p>
    <w:p>
      <w:pPr>
        <w:spacing w:line="560" w:lineRule="exact"/>
        <w:rPr>
          <w:rFonts w:ascii="仿宋" w:hAnsi="仿宋" w:eastAsia="仿宋" w:cs="仿宋"/>
          <w:sz w:val="28"/>
          <w:szCs w:val="28"/>
        </w:rPr>
      </w:pPr>
    </w:p>
    <w:p/>
    <w:sectPr>
      <w:headerReference r:id="rId3" w:type="default"/>
      <w:footerReference r:id="rId4"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DB5E45"/>
    <w:rsid w:val="00115F05"/>
    <w:rsid w:val="00123CDD"/>
    <w:rsid w:val="001457BE"/>
    <w:rsid w:val="001F13F4"/>
    <w:rsid w:val="00240A7C"/>
    <w:rsid w:val="002A3744"/>
    <w:rsid w:val="002A4F10"/>
    <w:rsid w:val="002F2747"/>
    <w:rsid w:val="00351860"/>
    <w:rsid w:val="003D24E8"/>
    <w:rsid w:val="00424FE8"/>
    <w:rsid w:val="00437D4C"/>
    <w:rsid w:val="00650E18"/>
    <w:rsid w:val="00681724"/>
    <w:rsid w:val="006F0824"/>
    <w:rsid w:val="00782D97"/>
    <w:rsid w:val="008049D0"/>
    <w:rsid w:val="009B58BD"/>
    <w:rsid w:val="00A460C5"/>
    <w:rsid w:val="00AD2633"/>
    <w:rsid w:val="00B34B74"/>
    <w:rsid w:val="00BE3040"/>
    <w:rsid w:val="00C4017F"/>
    <w:rsid w:val="00C452E1"/>
    <w:rsid w:val="00C459A9"/>
    <w:rsid w:val="00C813AA"/>
    <w:rsid w:val="00CC179C"/>
    <w:rsid w:val="00CF09C8"/>
    <w:rsid w:val="00D64FBA"/>
    <w:rsid w:val="00D73C08"/>
    <w:rsid w:val="00EB38C7"/>
    <w:rsid w:val="00F03132"/>
    <w:rsid w:val="00F42A2C"/>
    <w:rsid w:val="03D0171F"/>
    <w:rsid w:val="073E722B"/>
    <w:rsid w:val="0A5E5FD9"/>
    <w:rsid w:val="0B95714C"/>
    <w:rsid w:val="0DA315A5"/>
    <w:rsid w:val="1019093F"/>
    <w:rsid w:val="10725E44"/>
    <w:rsid w:val="11CA7DBC"/>
    <w:rsid w:val="14F41577"/>
    <w:rsid w:val="173A56F0"/>
    <w:rsid w:val="191233D0"/>
    <w:rsid w:val="1B1E64FB"/>
    <w:rsid w:val="1CDE1364"/>
    <w:rsid w:val="1CFA4527"/>
    <w:rsid w:val="1D4D7BE7"/>
    <w:rsid w:val="1D7E36D0"/>
    <w:rsid w:val="220B1174"/>
    <w:rsid w:val="24F771A5"/>
    <w:rsid w:val="256415E2"/>
    <w:rsid w:val="25D02876"/>
    <w:rsid w:val="27933338"/>
    <w:rsid w:val="29112AE7"/>
    <w:rsid w:val="3269285F"/>
    <w:rsid w:val="346E7176"/>
    <w:rsid w:val="353B1539"/>
    <w:rsid w:val="35606FE7"/>
    <w:rsid w:val="3A981A57"/>
    <w:rsid w:val="3E392BB4"/>
    <w:rsid w:val="3F02423E"/>
    <w:rsid w:val="3F910DA8"/>
    <w:rsid w:val="41EB4522"/>
    <w:rsid w:val="43162023"/>
    <w:rsid w:val="43631197"/>
    <w:rsid w:val="443006CE"/>
    <w:rsid w:val="450F25DC"/>
    <w:rsid w:val="465734D1"/>
    <w:rsid w:val="481402C6"/>
    <w:rsid w:val="484D3DD4"/>
    <w:rsid w:val="52626774"/>
    <w:rsid w:val="529A1B01"/>
    <w:rsid w:val="5A7F6743"/>
    <w:rsid w:val="5BE164C8"/>
    <w:rsid w:val="5C8479B4"/>
    <w:rsid w:val="5D3B1EE7"/>
    <w:rsid w:val="648E585F"/>
    <w:rsid w:val="6507380E"/>
    <w:rsid w:val="6516083C"/>
    <w:rsid w:val="65332366"/>
    <w:rsid w:val="665E2A53"/>
    <w:rsid w:val="681769C4"/>
    <w:rsid w:val="693E1C0A"/>
    <w:rsid w:val="69692F7C"/>
    <w:rsid w:val="72C369A2"/>
    <w:rsid w:val="73DB5E45"/>
    <w:rsid w:val="76D64E16"/>
    <w:rsid w:val="77044203"/>
    <w:rsid w:val="776436BF"/>
    <w:rsid w:val="77C62FD8"/>
    <w:rsid w:val="78C61DA6"/>
    <w:rsid w:val="79EF5A7A"/>
    <w:rsid w:val="7A6424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7">
    <w:name w:val="Hyperlink"/>
    <w:basedOn w:val="6"/>
    <w:qFormat/>
    <w:uiPriority w:val="0"/>
    <w:rPr>
      <w:color w:val="0000FF"/>
      <w:u w:val="single"/>
    </w:rPr>
  </w:style>
  <w:style w:type="paragraph" w:customStyle="1" w:styleId="9">
    <w:name w:val="_Style 6"/>
    <w:basedOn w:val="1"/>
    <w:next w:val="1"/>
    <w:qFormat/>
    <w:uiPriority w:val="99"/>
    <w:pPr>
      <w:pBdr>
        <w:bottom w:val="single" w:color="auto" w:sz="6" w:space="1"/>
      </w:pBdr>
      <w:jc w:val="center"/>
    </w:pPr>
    <w:rPr>
      <w:rFonts w:ascii="Arial"/>
      <w:vanish/>
      <w:sz w:val="16"/>
    </w:rPr>
  </w:style>
  <w:style w:type="paragraph" w:customStyle="1" w:styleId="10">
    <w:name w:val="_Style 7"/>
    <w:basedOn w:val="1"/>
    <w:next w:val="1"/>
    <w:qFormat/>
    <w:uiPriority w:val="99"/>
    <w:pPr>
      <w:pBdr>
        <w:top w:val="single" w:color="auto" w:sz="6" w:space="1"/>
      </w:pBdr>
      <w:jc w:val="center"/>
    </w:pPr>
    <w:rPr>
      <w:rFonts w:ascii="Arial"/>
      <w:vanish/>
      <w:sz w:val="16"/>
    </w:rPr>
  </w:style>
  <w:style w:type="character" w:customStyle="1" w:styleId="11">
    <w:name w:val="批注框文本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387</Words>
  <Characters>2209</Characters>
  <Lines>18</Lines>
  <Paragraphs>5</Paragraphs>
  <ScaleCrop>false</ScaleCrop>
  <LinksUpToDate>false</LinksUpToDate>
  <CharactersWithSpaces>2591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2018-03-15T06:47:00Z</dcterms:created>
  <dc:creator>Administrator</dc:creator>
  <cp:lastModifiedBy>33258</cp:lastModifiedBy>
  <cp:lastPrinted>2018-03-21T01:05:00Z</cp:lastPrinted>
  <dcterms:modified xsi:type="dcterms:W3CDTF">2018-03-26T00:24:24Z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