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rPr>
          <w:b/>
        </w:rPr>
      </w:pPr>
      <w:r>
        <w:rPr>
          <w:rFonts w:hint="eastAsia"/>
          <w:b/>
        </w:rPr>
        <w:t>窗体顶端</w:t>
      </w:r>
    </w:p>
    <w:p>
      <w:pPr>
        <w:pStyle w:val="5"/>
        <w:widowControl/>
        <w:spacing w:before="150" w:line="540" w:lineRule="atLeast"/>
        <w:jc w:val="center"/>
        <w:rPr>
          <w:rFonts w:ascii="宋体" w:hAnsi="宋体" w:cs="宋体"/>
          <w:b/>
          <w:color w:val="000000"/>
          <w:sz w:val="32"/>
          <w:szCs w:val="32"/>
        </w:rPr>
      </w:pPr>
      <w:r>
        <w:rPr>
          <w:rFonts w:hint="eastAsia" w:ascii="宋体" w:hAnsi="宋体" w:cs="宋体"/>
          <w:b/>
          <w:color w:val="000000"/>
          <w:sz w:val="32"/>
          <w:szCs w:val="32"/>
        </w:rPr>
        <w:t>宁夏大学数学统计学院</w:t>
      </w:r>
    </w:p>
    <w:p>
      <w:pPr>
        <w:pStyle w:val="5"/>
        <w:widowControl/>
        <w:spacing w:before="150" w:line="540" w:lineRule="atLeast"/>
        <w:jc w:val="center"/>
        <w:rPr>
          <w:rFonts w:ascii="宋体" w:hAnsi="宋体" w:cs="宋体"/>
          <w:b/>
          <w:sz w:val="32"/>
          <w:szCs w:val="32"/>
        </w:rPr>
      </w:pPr>
      <w:r>
        <w:rPr>
          <w:rFonts w:hint="eastAsia" w:ascii="宋体" w:hAnsi="宋体" w:cs="宋体"/>
          <w:b/>
          <w:color w:val="000000"/>
          <w:sz w:val="32"/>
          <w:szCs w:val="32"/>
        </w:rPr>
        <w:t>2018年硕士研究生招生复试工作办法</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根据《</w:t>
      </w:r>
      <w:r>
        <w:rPr>
          <w:rFonts w:hint="eastAsia" w:ascii="仿宋" w:hAnsi="仿宋" w:eastAsia="仿宋" w:cs="仿宋"/>
          <w:color w:val="000000"/>
          <w:sz w:val="28"/>
          <w:szCs w:val="28"/>
          <w:shd w:val="clear" w:color="auto" w:fill="FFFFFF"/>
        </w:rPr>
        <w:t>教育部关于印发</w:t>
      </w:r>
      <w:r>
        <w:rPr>
          <w:rFonts w:ascii="仿宋" w:hAnsi="仿宋" w:eastAsia="仿宋" w:cs="仿宋"/>
          <w:color w:val="000000"/>
          <w:kern w:val="2"/>
          <w:sz w:val="21"/>
          <w:szCs w:val="21"/>
          <w:shd w:val="clear" w:color="auto" w:fill="FFFFFF"/>
        </w:rPr>
        <w:t>&lt;</w:t>
      </w:r>
      <w:r>
        <w:rPr>
          <w:rFonts w:ascii="仿宋" w:hAnsi="仿宋" w:eastAsia="仿宋" w:cs="仿宋"/>
          <w:color w:val="000000"/>
          <w:kern w:val="2"/>
          <w:sz w:val="28"/>
          <w:szCs w:val="28"/>
        </w:rPr>
        <w:t>2018</w:t>
      </w:r>
      <w:r>
        <w:rPr>
          <w:rFonts w:hint="eastAsia" w:ascii="仿宋" w:hAnsi="仿宋" w:eastAsia="仿宋" w:cs="仿宋"/>
          <w:color w:val="000000"/>
          <w:kern w:val="2"/>
          <w:sz w:val="28"/>
          <w:szCs w:val="28"/>
        </w:rPr>
        <w:t>年</w:t>
      </w:r>
      <w:r>
        <w:rPr>
          <w:rFonts w:hint="eastAsia" w:ascii="仿宋" w:hAnsi="仿宋" w:eastAsia="仿宋" w:cs="仿宋"/>
          <w:color w:val="000000"/>
          <w:sz w:val="28"/>
          <w:szCs w:val="28"/>
        </w:rPr>
        <w:t>全国硕士研究生招生工作管理办法&gt;》</w:t>
      </w:r>
      <w:r>
        <w:rPr>
          <w:rFonts w:hint="eastAsia" w:ascii="仿宋" w:hAnsi="仿宋" w:eastAsia="仿宋" w:cs="仿宋"/>
          <w:color w:val="000000"/>
          <w:kern w:val="2"/>
          <w:sz w:val="28"/>
          <w:szCs w:val="28"/>
        </w:rPr>
        <w:t>（教学</w:t>
      </w:r>
      <w:r>
        <w:rPr>
          <w:rFonts w:ascii="仿宋" w:hAnsi="仿宋" w:eastAsia="仿宋" w:cs="仿宋"/>
          <w:color w:val="000000"/>
          <w:kern w:val="2"/>
          <w:sz w:val="28"/>
          <w:szCs w:val="28"/>
        </w:rPr>
        <w:t>[2017]9</w:t>
      </w:r>
      <w:r>
        <w:rPr>
          <w:rFonts w:hint="eastAsia" w:ascii="仿宋" w:hAnsi="仿宋" w:eastAsia="仿宋" w:cs="仿宋"/>
          <w:color w:val="000000"/>
          <w:kern w:val="2"/>
          <w:sz w:val="28"/>
          <w:szCs w:val="28"/>
        </w:rPr>
        <w:t>号）</w:t>
      </w:r>
      <w:r>
        <w:rPr>
          <w:rFonts w:hint="eastAsia" w:ascii="仿宋" w:hAnsi="仿宋" w:eastAsia="仿宋" w:cs="仿宋"/>
          <w:color w:val="000000"/>
          <w:sz w:val="28"/>
          <w:szCs w:val="28"/>
        </w:rPr>
        <w:t>《教育部关于加强硕士研究生招生复试工作的指导意见》（教学[2006]4号），结合宁夏大学数学统计学院的实际情况，特制定本复试工作办法。</w:t>
      </w:r>
    </w:p>
    <w:p>
      <w:pPr>
        <w:pStyle w:val="5"/>
        <w:widowControl/>
        <w:spacing w:line="560" w:lineRule="exact"/>
        <w:ind w:firstLine="562" w:firstLineChars="200"/>
        <w:rPr>
          <w:sz w:val="28"/>
          <w:szCs w:val="28"/>
        </w:rPr>
      </w:pPr>
      <w:r>
        <w:rPr>
          <w:rFonts w:hint="eastAsia" w:ascii="Verdana" w:hAnsi="Verdana" w:cs="Verdana"/>
          <w:b/>
          <w:color w:val="000000"/>
          <w:sz w:val="28"/>
          <w:szCs w:val="28"/>
        </w:rPr>
        <w:t>一、复试工作原则</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(一)坚持科学选拔。</w:t>
      </w:r>
    </w:p>
    <w:p>
      <w:pPr>
        <w:pStyle w:val="5"/>
        <w:widowControl/>
        <w:spacing w:line="560" w:lineRule="exact"/>
        <w:rPr>
          <w:rFonts w:ascii="仿宋" w:hAnsi="仿宋" w:eastAsia="仿宋" w:cs="仿宋"/>
          <w:color w:val="000000"/>
          <w:sz w:val="28"/>
          <w:szCs w:val="28"/>
        </w:rPr>
      </w:pPr>
      <w:r>
        <w:rPr>
          <w:rFonts w:hint="eastAsia" w:ascii="仿宋" w:hAnsi="仿宋" w:eastAsia="仿宋" w:cs="仿宋"/>
          <w:color w:val="000000"/>
          <w:sz w:val="28"/>
          <w:szCs w:val="28"/>
        </w:rPr>
        <w:t xml:space="preserve">   （二）坚持公平、公正、公开的原则。</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（三）坚持全面考察，突出重点的原则</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（四）坚持客观评价的原则。</w:t>
      </w:r>
    </w:p>
    <w:p>
      <w:pPr>
        <w:pStyle w:val="5"/>
        <w:widowControl/>
        <w:spacing w:line="560" w:lineRule="exact"/>
        <w:ind w:firstLine="562" w:firstLineChars="200"/>
        <w:rPr>
          <w:sz w:val="28"/>
          <w:szCs w:val="28"/>
        </w:rPr>
      </w:pPr>
      <w:r>
        <w:rPr>
          <w:rFonts w:hint="eastAsia" w:ascii="Verdana" w:hAnsi="Verdana" w:cs="Verdana"/>
          <w:b/>
          <w:color w:val="000000"/>
          <w:sz w:val="28"/>
          <w:szCs w:val="28"/>
        </w:rPr>
        <w:t>二、复试组织</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（一）学校招生工作领导小组，负责对复试工作的领导和统筹管理。</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（二）学院成立招生复试工作领导小组，由院长担任组长，</w:t>
      </w:r>
      <w:r>
        <w:rPr>
          <w:rFonts w:hint="eastAsia" w:ascii="仿宋" w:hAnsi="仿宋" w:eastAsia="仿宋" w:cs="仿宋"/>
          <w:sz w:val="28"/>
          <w:szCs w:val="28"/>
        </w:rPr>
        <w:t>制定本单位复试工作具体方案并组织实施。</w:t>
      </w:r>
    </w:p>
    <w:p>
      <w:pPr>
        <w:pStyle w:val="5"/>
        <w:widowControl/>
        <w:spacing w:line="560" w:lineRule="exact"/>
        <w:ind w:firstLine="560" w:firstLineChars="200"/>
        <w:rPr>
          <w:rFonts w:ascii="仿宋" w:hAnsi="仿宋" w:eastAsia="仿宋" w:cs="仿宋"/>
          <w:color w:val="000000" w:themeColor="text1"/>
          <w:sz w:val="28"/>
          <w:szCs w:val="28"/>
        </w:rPr>
      </w:pPr>
      <w:r>
        <w:rPr>
          <w:rFonts w:hint="eastAsia" w:ascii="仿宋" w:hAnsi="仿宋" w:eastAsia="仿宋" w:cs="仿宋"/>
          <w:sz w:val="28"/>
          <w:szCs w:val="28"/>
        </w:rPr>
        <w:t>（三）按专业和复试人数组成若干复试小组，对参加复试的小组成员进行专门培训。每个复试</w:t>
      </w:r>
      <w:r>
        <w:rPr>
          <w:rFonts w:hint="eastAsia" w:ascii="仿宋" w:hAnsi="仿宋" w:eastAsia="仿宋" w:cs="仿宋"/>
          <w:color w:val="000000"/>
          <w:sz w:val="28"/>
          <w:szCs w:val="28"/>
        </w:rPr>
        <w:t>小组成员不少于5人。</w:t>
      </w:r>
      <w:r>
        <w:rPr>
          <w:rFonts w:hint="eastAsia" w:ascii="仿宋" w:hAnsi="仿宋" w:eastAsia="仿宋" w:cs="仿宋"/>
          <w:color w:val="000000" w:themeColor="text1"/>
          <w:sz w:val="28"/>
          <w:szCs w:val="28"/>
        </w:rPr>
        <w:t>复试小组成员包括专业的学科带头人、学术骨干、硕士生导师，指定1人为组长。复试小组成员必须现场独立评分。有直系亲属参加复试的教师应认真执行回避制度。</w:t>
      </w:r>
    </w:p>
    <w:p>
      <w:pPr>
        <w:pStyle w:val="5"/>
        <w:widowControl/>
        <w:spacing w:line="560" w:lineRule="exact"/>
        <w:ind w:firstLine="560"/>
        <w:rPr>
          <w:rFonts w:ascii="仿宋" w:hAnsi="仿宋" w:eastAsia="仿宋" w:cs="仿宋"/>
          <w:color w:val="000000"/>
          <w:sz w:val="28"/>
          <w:szCs w:val="28"/>
        </w:rPr>
      </w:pPr>
      <w:r>
        <w:rPr>
          <w:rFonts w:hint="eastAsia" w:ascii="仿宋" w:hAnsi="仿宋" w:eastAsia="仿宋" w:cs="仿宋"/>
          <w:color w:val="000000"/>
          <w:sz w:val="28"/>
          <w:szCs w:val="28"/>
        </w:rPr>
        <w:t>（四）同一学科（专业）各复试小组的面试方式、时间、试题难度和成绩评定标准原则上应统一。</w:t>
      </w:r>
    </w:p>
    <w:p>
      <w:pPr>
        <w:pStyle w:val="5"/>
        <w:widowControl/>
        <w:spacing w:line="560" w:lineRule="exact"/>
        <w:ind w:firstLine="560"/>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五）学院选派经验丰富、业务水平高、公道正派的人员参与复试工作；并对所有人员进行政策、业务、纪律等方面的培训，使其明确工作纪律和工作程序、评判规则和评判标准；要明确招生导师在复试工作中的权利、责任和纪律，规范其工作行为。</w:t>
      </w:r>
    </w:p>
    <w:p>
      <w:pPr>
        <w:pStyle w:val="5"/>
        <w:widowControl/>
        <w:spacing w:line="560" w:lineRule="exact"/>
        <w:ind w:firstLine="560" w:firstLineChars="200"/>
        <w:rPr>
          <w:sz w:val="28"/>
          <w:szCs w:val="28"/>
        </w:rPr>
      </w:pPr>
      <w:r>
        <w:rPr>
          <w:rFonts w:hint="eastAsia" w:ascii="仿宋" w:hAnsi="仿宋" w:eastAsia="仿宋" w:cs="仿宋"/>
          <w:color w:val="000000"/>
          <w:sz w:val="28"/>
          <w:szCs w:val="28"/>
        </w:rPr>
        <w:t>（六）各专业复试面试必须现场录音、录像。</w:t>
      </w:r>
    </w:p>
    <w:p>
      <w:pPr>
        <w:pStyle w:val="5"/>
        <w:widowControl/>
        <w:spacing w:line="560" w:lineRule="exact"/>
        <w:ind w:firstLine="562" w:firstLineChars="200"/>
        <w:rPr>
          <w:sz w:val="28"/>
          <w:szCs w:val="28"/>
        </w:rPr>
      </w:pPr>
      <w:r>
        <w:rPr>
          <w:rFonts w:hint="eastAsia" w:ascii="Verdana" w:hAnsi="Verdana" w:cs="Verdana"/>
          <w:b/>
          <w:color w:val="000000"/>
          <w:sz w:val="28"/>
          <w:szCs w:val="28"/>
        </w:rPr>
        <w:t>三、复试人选</w:t>
      </w:r>
    </w:p>
    <w:p>
      <w:pPr>
        <w:pStyle w:val="5"/>
        <w:widowControl/>
        <w:ind w:firstLine="560" w:firstLineChars="200"/>
        <w:rPr>
          <w:rFonts w:ascii="仿宋" w:hAnsi="仿宋" w:eastAsia="仿宋" w:cs="仿宋"/>
          <w:sz w:val="28"/>
          <w:szCs w:val="28"/>
        </w:rPr>
      </w:pPr>
      <w:r>
        <w:rPr>
          <w:rFonts w:hint="eastAsia" w:ascii="仿宋" w:hAnsi="仿宋" w:eastAsia="仿宋" w:cs="仿宋"/>
          <w:color w:val="000000"/>
          <w:sz w:val="28"/>
          <w:szCs w:val="28"/>
        </w:rPr>
        <w:t>参加复试考生为第一志愿报考我校并按照我校公布的复试基本要求的上线人员及调剂考生。复试人数一般不低于拟录取人数的120％。</w:t>
      </w:r>
    </w:p>
    <w:p>
      <w:pPr>
        <w:pStyle w:val="5"/>
        <w:widowControl/>
        <w:spacing w:line="560" w:lineRule="exact"/>
        <w:ind w:firstLine="562" w:firstLineChars="200"/>
        <w:rPr>
          <w:sz w:val="28"/>
          <w:szCs w:val="28"/>
        </w:rPr>
      </w:pPr>
      <w:r>
        <w:rPr>
          <w:rFonts w:hint="eastAsia" w:ascii="Verdana" w:hAnsi="Verdana" w:cs="Verdana"/>
          <w:b/>
          <w:color w:val="000000"/>
          <w:sz w:val="28"/>
          <w:szCs w:val="28"/>
        </w:rPr>
        <w:t>四、复试工作内容及成绩计算</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复试内容包括专业课笔试，专业课面试，英语听力与口语水平测试。</w:t>
      </w:r>
    </w:p>
    <w:p>
      <w:pPr>
        <w:pStyle w:val="5"/>
        <w:widowControl/>
        <w:spacing w:line="560" w:lineRule="exact"/>
        <w:rPr>
          <w:rFonts w:ascii="仿宋" w:hAnsi="仿宋" w:eastAsia="仿宋" w:cs="仿宋"/>
          <w:color w:val="000000"/>
          <w:sz w:val="28"/>
          <w:szCs w:val="28"/>
        </w:rPr>
      </w:pPr>
      <w:r>
        <w:rPr>
          <w:rFonts w:hint="eastAsia" w:ascii="仿宋" w:hAnsi="仿宋" w:eastAsia="仿宋" w:cs="仿宋"/>
          <w:color w:val="000000"/>
          <w:sz w:val="28"/>
          <w:szCs w:val="28"/>
        </w:rPr>
        <w:t xml:space="preserve">   （一）专业课笔试。所有专业均必须进行专业课笔试。严格按宁夏大学初试命题工作管理规定进行命制，复试试题及答案在启封前属国家机密材料。 数学专业的笔试课程为：《常微分方程》《概率统计》、《复变函数》、《实变函数》、《数值分析》， 五门课程任选三门做答；学科教学（数学）专业的笔试课程为：《数学教学论》。</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（二）专业课面试。</w:t>
      </w:r>
      <w:r>
        <w:rPr>
          <w:rFonts w:hint="eastAsia" w:ascii="仿宋" w:hAnsi="仿宋" w:eastAsia="仿宋" w:cs="仿宋"/>
          <w:color w:val="000000" w:themeColor="text1"/>
          <w:sz w:val="28"/>
          <w:szCs w:val="28"/>
        </w:rPr>
        <w:t>面试</w:t>
      </w:r>
      <w:r>
        <w:rPr>
          <w:rFonts w:hint="eastAsia" w:ascii="仿宋" w:hAnsi="仿宋" w:eastAsia="仿宋" w:cs="仿宋"/>
          <w:color w:val="000000"/>
          <w:sz w:val="28"/>
          <w:szCs w:val="28"/>
        </w:rPr>
        <w:t>采用试题事先命制、装袋，考生现场抽题回答的形式进行。</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三）英语听力与口语水平测试。学院负责组织考生（非英语专业）的听力与口语能力水平测试，邀请英语专业教师任教官，测试内容包括日常会话、语音语调、口头作文。对于听力、口语成绩偏低的考生，将根据情况，慎重录取。</w:t>
      </w:r>
    </w:p>
    <w:p>
      <w:pPr>
        <w:pStyle w:val="5"/>
        <w:widowControl/>
        <w:spacing w:line="560" w:lineRule="exact"/>
        <w:ind w:firstLine="560" w:firstLineChars="200"/>
        <w:rPr>
          <w:rFonts w:ascii="仿宋" w:hAnsi="仿宋" w:eastAsia="仿宋" w:cs="仿宋"/>
          <w:sz w:val="28"/>
          <w:szCs w:val="28"/>
        </w:rPr>
      </w:pPr>
      <w:r>
        <w:rPr>
          <w:rFonts w:hint="eastAsia" w:ascii="仿宋" w:hAnsi="仿宋" w:eastAsia="仿宋" w:cs="仿宋"/>
          <w:color w:val="000000"/>
          <w:sz w:val="28"/>
          <w:szCs w:val="28"/>
        </w:rPr>
        <w:t>（四）复试总分为100分，其中专业课笔试占45％，专业课面试占35％，英语听力与口语水平测试占20％。专业课笔试时间为2小时，专业课面试时间每个考生不少于20分钟，英语听力与口语水平测试每个考生不少于10分钟。</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六）复试成绩报送。学院根据实际情况确定复试各环节成绩总分值，最后报送研究生院的考生的复试总成绩须折合为百分制。复试总成绩由专业课笔试、专业课面试、英语听力与口语水平测试的成绩加权后组成。复试结束后，及时将复试成绩报送研究生院。</w:t>
      </w:r>
    </w:p>
    <w:p>
      <w:pPr>
        <w:pStyle w:val="5"/>
        <w:widowControl/>
        <w:spacing w:line="560" w:lineRule="exact"/>
        <w:rPr>
          <w:rFonts w:ascii="仿宋" w:hAnsi="仿宋" w:eastAsia="仿宋" w:cs="仿宋"/>
          <w:color w:val="000000"/>
          <w:sz w:val="28"/>
          <w:szCs w:val="28"/>
        </w:rPr>
      </w:pPr>
      <w:r>
        <w:rPr>
          <w:rFonts w:hint="eastAsia" w:ascii="仿宋" w:hAnsi="仿宋" w:eastAsia="仿宋" w:cs="仿宋"/>
          <w:color w:val="000000"/>
          <w:sz w:val="28"/>
          <w:szCs w:val="28"/>
        </w:rPr>
        <w:t xml:space="preserve">   （七）录取总成绩。复试总成绩在60分以上者（含60分）其复试总成绩与初试成绩加权求和为最后的录取总成绩，其中初试成绩权重占60％，复试成绩权重占40％。依据考生录取总成绩的排序依次择优录取。 </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八）同等学力考生复试除参加上述各项内容的复试外还须加试两门所报专业大学本科主干课程，考试形式一律采用笔试，每门考试时间为2小时，满分均为100分，且不得与初试科目相同。加试科目的成绩不计入复试总成绩，但如有1门加试科目低于60分者，不予录取。</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（九）</w:t>
      </w:r>
      <w:r>
        <w:rPr>
          <w:rFonts w:hint="eastAsia" w:ascii="仿宋" w:hAnsi="仿宋" w:eastAsia="仿宋" w:cs="仿宋"/>
          <w:color w:val="000000" w:themeColor="text1"/>
          <w:sz w:val="28"/>
          <w:szCs w:val="28"/>
        </w:rPr>
        <w:t>面试成绩低于60分或</w:t>
      </w:r>
      <w:r>
        <w:rPr>
          <w:rFonts w:hint="eastAsia" w:ascii="仿宋" w:hAnsi="仿宋" w:eastAsia="仿宋" w:cs="仿宋"/>
          <w:color w:val="000000"/>
          <w:sz w:val="28"/>
          <w:szCs w:val="28"/>
        </w:rPr>
        <w:t>复试总成绩低于60分，均视为复试不合格，不予录取。</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（十）复试期间还将进行体检、政审及思想政治素质和品德等其它情况审查，审查不合格者不予录取。</w:t>
      </w:r>
    </w:p>
    <w:p>
      <w:pPr>
        <w:pStyle w:val="5"/>
        <w:widowControl/>
        <w:spacing w:line="560" w:lineRule="exact"/>
        <w:ind w:firstLine="562" w:firstLineChars="200"/>
        <w:rPr>
          <w:sz w:val="28"/>
          <w:szCs w:val="28"/>
        </w:rPr>
      </w:pPr>
      <w:r>
        <w:rPr>
          <w:rFonts w:hint="eastAsia" w:ascii="Verdana" w:hAnsi="Verdana" w:cs="Verdana"/>
          <w:b/>
          <w:color w:val="000000"/>
          <w:sz w:val="28"/>
          <w:szCs w:val="28"/>
        </w:rPr>
        <w:t>五、复试的监督与复议</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（一）实行责任制度和责任追究制度。学院研究生招生复试工作领导小组对复试过程和复试结果全面负责。要完善对复试工作过程的监督，严肃处理违纪、违规事件。</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二）实行监督制度和巡视制度。学院成立由党委（总支）书记或纪检委员为组长的监督小组，对本单位复试工作实施全程监督；校纪委（监审处）对全校复试工作进行全面监督检查，并协助研究生院、宁夏教育考试院对复试工作开展巡视。</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（三）实行信息公布制度。复试基本分数线、复试工作办法等信息按规定的时间及时公布。</w:t>
      </w:r>
    </w:p>
    <w:p>
      <w:pPr>
        <w:pStyle w:val="5"/>
        <w:widowControl/>
        <w:spacing w:line="560" w:lineRule="exact"/>
        <w:rPr>
          <w:rFonts w:ascii="仿宋" w:hAnsi="仿宋" w:eastAsia="仿宋" w:cs="仿宋"/>
          <w:sz w:val="28"/>
          <w:szCs w:val="28"/>
        </w:rPr>
      </w:pPr>
      <w:r>
        <w:rPr>
          <w:rFonts w:hint="eastAsia" w:ascii="仿宋" w:hAnsi="仿宋" w:eastAsia="仿宋" w:cs="仿宋"/>
          <w:color w:val="000000"/>
          <w:sz w:val="28"/>
          <w:szCs w:val="28"/>
        </w:rPr>
        <w:t xml:space="preserve">   （四）实行复议制度。要保证投诉、申诉和监督渠道的畅通。学院受理投诉和申诉应及时上报校监审处和研究生院招生办公室，并在一周内予以回复。对投诉和申诉问题经调查属实的，由研究生招生工作领导小组责成复试工作小组或复试小组进行复议。涉及招生政策、原则的，由学校研究生招生办公室负责解释；涉及复试成绩等有关问题的，由学院负责解释。</w:t>
      </w:r>
    </w:p>
    <w:p>
      <w:pPr>
        <w:pStyle w:val="5"/>
        <w:widowControl/>
        <w:spacing w:line="560" w:lineRule="exact"/>
        <w:rPr>
          <w:rFonts w:ascii="仿宋" w:hAnsi="仿宋" w:eastAsia="仿宋" w:cs="仿宋"/>
          <w:color w:val="000000"/>
          <w:sz w:val="28"/>
          <w:szCs w:val="28"/>
        </w:rPr>
      </w:pPr>
      <w:r>
        <w:rPr>
          <w:rFonts w:hint="eastAsia" w:ascii="仿宋" w:hAnsi="仿宋" w:eastAsia="仿宋" w:cs="仿宋"/>
          <w:color w:val="000000"/>
          <w:sz w:val="28"/>
          <w:szCs w:val="28"/>
        </w:rPr>
        <w:t xml:space="preserve">   （五）增强复试录取工作透明度，坚决抵制不正之风。研究生院、校监审处将监督、抽检和配合各院（中心）的工作，确保学校硕士研究生复试工作的顺利进行。同时，学校纪检部门为考生设立投诉电话（0951-2061117），邮箱：jsc@nxu.edu.cn；研究生院投诉电话（0951-2061096），邮箱：</w:t>
      </w:r>
      <w:r>
        <w:fldChar w:fldCharType="begin"/>
      </w:r>
      <w:r>
        <w:instrText xml:space="preserve"> HYPERLINK "mailto:yzb@nxu.edu.cn。数学统计学院投诉电话（0951" </w:instrText>
      </w:r>
      <w:r>
        <w:fldChar w:fldCharType="separate"/>
      </w:r>
      <w:r>
        <w:rPr>
          <w:rFonts w:hint="eastAsia" w:ascii="仿宋" w:hAnsi="仿宋" w:eastAsia="仿宋" w:cs="仿宋"/>
          <w:color w:val="000000"/>
          <w:sz w:val="28"/>
          <w:szCs w:val="28"/>
        </w:rPr>
        <w:t>yzb@nxu.edu.cn。数学统计学院投诉电话（0951</w:t>
      </w:r>
      <w:r>
        <w:rPr>
          <w:rFonts w:hint="eastAsia" w:ascii="仿宋" w:hAnsi="仿宋" w:eastAsia="仿宋" w:cs="仿宋"/>
          <w:color w:val="000000"/>
          <w:sz w:val="28"/>
          <w:szCs w:val="28"/>
        </w:rPr>
        <w:fldChar w:fldCharType="end"/>
      </w:r>
      <w:r>
        <w:rPr>
          <w:rFonts w:hint="eastAsia" w:ascii="仿宋" w:hAnsi="仿宋" w:eastAsia="仿宋" w:cs="仿宋"/>
          <w:color w:val="000000"/>
          <w:sz w:val="28"/>
          <w:szCs w:val="28"/>
        </w:rPr>
        <w:t>-2061578），邮箱：</w:t>
      </w:r>
      <w:r>
        <w:fldChar w:fldCharType="begin"/>
      </w:r>
      <w:r>
        <w:instrText xml:space="preserve"> HYPERLINK "mailto:liufx@nxu.edu.cn" </w:instrText>
      </w:r>
      <w:r>
        <w:fldChar w:fldCharType="separate"/>
      </w:r>
      <w:r>
        <w:rPr>
          <w:rFonts w:ascii="仿宋" w:hAnsi="仿宋" w:eastAsia="仿宋" w:cs="仿宋"/>
          <w:color w:val="000000"/>
          <w:sz w:val="28"/>
          <w:szCs w:val="28"/>
        </w:rPr>
        <w:t>liufx@nxu.edu.cn</w:t>
      </w:r>
      <w:r>
        <w:rPr>
          <w:rFonts w:ascii="仿宋" w:hAnsi="仿宋" w:eastAsia="仿宋" w:cs="仿宋"/>
          <w:color w:val="000000"/>
          <w:sz w:val="28"/>
          <w:szCs w:val="28"/>
        </w:rPr>
        <w:fldChar w:fldCharType="end"/>
      </w:r>
      <w:r>
        <w:rPr>
          <w:rFonts w:hint="eastAsia" w:ascii="仿宋" w:hAnsi="仿宋" w:eastAsia="仿宋" w:cs="仿宋"/>
          <w:color w:val="000000"/>
          <w:sz w:val="28"/>
          <w:szCs w:val="28"/>
        </w:rPr>
        <w:t>。</w:t>
      </w:r>
    </w:p>
    <w:p>
      <w:pPr>
        <w:pStyle w:val="5"/>
        <w:widowControl/>
        <w:spacing w:line="560" w:lineRule="exact"/>
        <w:jc w:val="right"/>
        <w:rPr>
          <w:rFonts w:ascii="仿宋" w:hAnsi="仿宋" w:eastAsia="仿宋" w:cs="仿宋"/>
          <w:color w:val="000000"/>
          <w:sz w:val="28"/>
          <w:szCs w:val="28"/>
        </w:rPr>
      </w:pPr>
    </w:p>
    <w:p>
      <w:pPr>
        <w:pStyle w:val="5"/>
        <w:widowControl/>
        <w:spacing w:line="560" w:lineRule="exact"/>
        <w:jc w:val="right"/>
        <w:rPr>
          <w:rFonts w:ascii="仿宋" w:hAnsi="仿宋" w:eastAsia="仿宋" w:cs="仿宋"/>
          <w:color w:val="000000"/>
          <w:sz w:val="28"/>
          <w:szCs w:val="28"/>
        </w:rPr>
      </w:pPr>
      <w:r>
        <w:rPr>
          <w:rFonts w:hint="eastAsia" w:ascii="仿宋" w:hAnsi="仿宋" w:eastAsia="仿宋" w:cs="仿宋"/>
          <w:color w:val="000000"/>
          <w:sz w:val="28"/>
          <w:szCs w:val="28"/>
        </w:rPr>
        <w:t>宁夏大学数学统计学院</w:t>
      </w:r>
    </w:p>
    <w:p>
      <w:pPr>
        <w:pStyle w:val="5"/>
        <w:widowControl/>
        <w:spacing w:line="560" w:lineRule="exact"/>
        <w:jc w:val="right"/>
      </w:pPr>
      <w:r>
        <w:rPr>
          <w:rFonts w:hint="eastAsia" w:ascii="仿宋" w:hAnsi="仿宋" w:eastAsia="仿宋" w:cs="仿宋"/>
          <w:color w:val="000000"/>
          <w:sz w:val="28"/>
          <w:szCs w:val="28"/>
        </w:rPr>
        <w:t>2018年3月22日</w:t>
      </w:r>
      <w:bookmarkStart w:id="0" w:name="_GoBack"/>
      <w:bookmarkEnd w:id="0"/>
    </w:p>
    <w:sectPr>
      <w:headerReference r:id="rId3" w:type="default"/>
      <w:footerReference r:id="rId4" w:type="default"/>
      <w:pgSz w:w="11906" w:h="16838"/>
      <w:pgMar w:top="1440" w:right="1800" w:bottom="1440" w:left="1800" w:header="851" w:footer="992" w:gutter="0"/>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73DB5E45"/>
    <w:rsid w:val="00115F05"/>
    <w:rsid w:val="00123CDD"/>
    <w:rsid w:val="001457BE"/>
    <w:rsid w:val="001F13F4"/>
    <w:rsid w:val="00240A7C"/>
    <w:rsid w:val="002A3744"/>
    <w:rsid w:val="002A4F10"/>
    <w:rsid w:val="002A514D"/>
    <w:rsid w:val="002F2747"/>
    <w:rsid w:val="00351860"/>
    <w:rsid w:val="003D24E8"/>
    <w:rsid w:val="00424FE8"/>
    <w:rsid w:val="00437D4C"/>
    <w:rsid w:val="00542D22"/>
    <w:rsid w:val="005D1D8C"/>
    <w:rsid w:val="005F57FA"/>
    <w:rsid w:val="006021C8"/>
    <w:rsid w:val="00650E18"/>
    <w:rsid w:val="00666D0B"/>
    <w:rsid w:val="00681724"/>
    <w:rsid w:val="006F0824"/>
    <w:rsid w:val="00782D97"/>
    <w:rsid w:val="008037D3"/>
    <w:rsid w:val="008049D0"/>
    <w:rsid w:val="0095423B"/>
    <w:rsid w:val="009B58BD"/>
    <w:rsid w:val="00A460C5"/>
    <w:rsid w:val="00AD2633"/>
    <w:rsid w:val="00B34B74"/>
    <w:rsid w:val="00B71242"/>
    <w:rsid w:val="00B7667F"/>
    <w:rsid w:val="00BE3040"/>
    <w:rsid w:val="00C33F04"/>
    <w:rsid w:val="00C4017F"/>
    <w:rsid w:val="00C452E1"/>
    <w:rsid w:val="00C459A9"/>
    <w:rsid w:val="00C813AA"/>
    <w:rsid w:val="00CC179C"/>
    <w:rsid w:val="00CF09C8"/>
    <w:rsid w:val="00D64FBA"/>
    <w:rsid w:val="00D73C08"/>
    <w:rsid w:val="00E53C79"/>
    <w:rsid w:val="00EB38C7"/>
    <w:rsid w:val="00F03132"/>
    <w:rsid w:val="00F42A2C"/>
    <w:rsid w:val="03D0171F"/>
    <w:rsid w:val="073E722B"/>
    <w:rsid w:val="0A5E5FD9"/>
    <w:rsid w:val="0B95714C"/>
    <w:rsid w:val="0DA315A5"/>
    <w:rsid w:val="10725E44"/>
    <w:rsid w:val="11CA7DBC"/>
    <w:rsid w:val="14F41577"/>
    <w:rsid w:val="173A56F0"/>
    <w:rsid w:val="191233D0"/>
    <w:rsid w:val="1CDE1364"/>
    <w:rsid w:val="1CFA4527"/>
    <w:rsid w:val="1D4D7BE7"/>
    <w:rsid w:val="1D7E36D0"/>
    <w:rsid w:val="220B1174"/>
    <w:rsid w:val="24F771A5"/>
    <w:rsid w:val="256415E2"/>
    <w:rsid w:val="25D02876"/>
    <w:rsid w:val="27933338"/>
    <w:rsid w:val="29112AE7"/>
    <w:rsid w:val="3269285F"/>
    <w:rsid w:val="346E7176"/>
    <w:rsid w:val="353B1539"/>
    <w:rsid w:val="35606FE7"/>
    <w:rsid w:val="3A981A57"/>
    <w:rsid w:val="3F02423E"/>
    <w:rsid w:val="3F910DA8"/>
    <w:rsid w:val="41EB4522"/>
    <w:rsid w:val="43631197"/>
    <w:rsid w:val="443006CE"/>
    <w:rsid w:val="450F25DC"/>
    <w:rsid w:val="465734D1"/>
    <w:rsid w:val="481402C6"/>
    <w:rsid w:val="484D3DD4"/>
    <w:rsid w:val="5A7F6743"/>
    <w:rsid w:val="5BE164C8"/>
    <w:rsid w:val="5C8479B4"/>
    <w:rsid w:val="5D3B1EE7"/>
    <w:rsid w:val="5E96636D"/>
    <w:rsid w:val="6507380E"/>
    <w:rsid w:val="6516083C"/>
    <w:rsid w:val="65332366"/>
    <w:rsid w:val="681769C4"/>
    <w:rsid w:val="69692F7C"/>
    <w:rsid w:val="72C369A2"/>
    <w:rsid w:val="73DB5E45"/>
    <w:rsid w:val="76D64E16"/>
    <w:rsid w:val="77044203"/>
    <w:rsid w:val="776436BF"/>
    <w:rsid w:val="77C62FD8"/>
    <w:rsid w:val="78C61DA6"/>
    <w:rsid w:val="79EF5A7A"/>
    <w:rsid w:val="7A6424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jc w:val="left"/>
    </w:pPr>
    <w:rPr>
      <w:kern w:val="0"/>
      <w:sz w:val="24"/>
    </w:rPr>
  </w:style>
  <w:style w:type="character" w:styleId="7">
    <w:name w:val="Hyperlink"/>
    <w:basedOn w:val="6"/>
    <w:uiPriority w:val="0"/>
    <w:rPr>
      <w:color w:val="0563C1" w:themeColor="hyperlink"/>
      <w:u w:val="single"/>
    </w:rPr>
  </w:style>
  <w:style w:type="paragraph" w:customStyle="1" w:styleId="9">
    <w:name w:val="_Style 6"/>
    <w:basedOn w:val="1"/>
    <w:next w:val="1"/>
    <w:qFormat/>
    <w:uiPriority w:val="99"/>
    <w:pPr>
      <w:pBdr>
        <w:bottom w:val="single" w:color="auto" w:sz="6" w:space="1"/>
      </w:pBdr>
      <w:jc w:val="center"/>
    </w:pPr>
    <w:rPr>
      <w:rFonts w:ascii="Arial"/>
      <w:vanish/>
      <w:sz w:val="16"/>
    </w:rPr>
  </w:style>
  <w:style w:type="paragraph" w:customStyle="1" w:styleId="10">
    <w:name w:val="_Style 7"/>
    <w:basedOn w:val="1"/>
    <w:next w:val="1"/>
    <w:qFormat/>
    <w:uiPriority w:val="99"/>
    <w:pPr>
      <w:pBdr>
        <w:top w:val="single" w:color="auto" w:sz="6" w:space="1"/>
      </w:pBdr>
      <w:jc w:val="center"/>
    </w:pPr>
    <w:rPr>
      <w:rFonts w:ascii="Arial"/>
      <w:vanish/>
      <w:sz w:val="16"/>
    </w:rPr>
  </w:style>
  <w:style w:type="character" w:customStyle="1" w:styleId="11">
    <w:name w:val="批注框文本 Char"/>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344</Words>
  <Characters>1961</Characters>
  <Lines>16</Lines>
  <Paragraphs>4</Paragraphs>
  <TotalTime>0</TotalTime>
  <ScaleCrop>false</ScaleCrop>
  <LinksUpToDate>false</LinksUpToDate>
  <CharactersWithSpaces>2301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2018-03-15T06:47:00Z</dcterms:created>
  <dc:creator>Administrator</dc:creator>
  <cp:lastModifiedBy>小魚1379983518</cp:lastModifiedBy>
  <cp:lastPrinted>2018-03-22T01:19:00Z</cp:lastPrinted>
  <dcterms:modified xsi:type="dcterms:W3CDTF">2018-03-27T04:38:48Z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