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sz w:val="32"/>
          <w:szCs w:val="32"/>
        </w:rPr>
      </w:pPr>
      <w:r>
        <w:rPr>
          <w:rFonts w:hint="eastAsia"/>
        </w:rPr>
        <w:t xml:space="preserve">    </w:t>
      </w:r>
      <w:r>
        <w:rPr>
          <w:rFonts w:hint="eastAsia"/>
          <w:lang w:val="en-US" w:eastAsia="zh-CN"/>
        </w:rPr>
        <w:t xml:space="preserve">                 </w:t>
      </w:r>
      <w:r>
        <w:rPr>
          <w:rFonts w:hint="eastAsia"/>
          <w:sz w:val="32"/>
          <w:szCs w:val="32"/>
        </w:rPr>
        <w:t xml:space="preserve"> </w:t>
      </w:r>
    </w:p>
    <w:p>
      <w:pPr>
        <w:ind w:firstLine="1920" w:firstLineChars="600"/>
        <w:rPr>
          <w:rFonts w:hint="eastAsia"/>
          <w:sz w:val="32"/>
          <w:szCs w:val="32"/>
        </w:rPr>
      </w:pPr>
    </w:p>
    <w:p>
      <w:pPr>
        <w:ind w:firstLine="1928" w:firstLineChars="600"/>
        <w:rPr>
          <w:rFonts w:hint="eastAsia" w:eastAsiaTheme="minorEastAsia"/>
          <w:lang w:val="en-US" w:eastAsia="zh-CN"/>
        </w:rPr>
      </w:pPr>
      <w:r>
        <w:rPr>
          <w:rFonts w:hint="eastAsia"/>
          <w:b/>
          <w:bCs/>
          <w:sz w:val="32"/>
          <w:szCs w:val="32"/>
        </w:rPr>
        <w:t>民俗学与历史文化硕士点</w:t>
      </w:r>
      <w:r>
        <w:rPr>
          <w:rFonts w:hint="eastAsia"/>
          <w:b/>
          <w:bCs/>
          <w:sz w:val="32"/>
          <w:szCs w:val="32"/>
          <w:lang w:val="en-US" w:eastAsia="zh-CN"/>
        </w:rPr>
        <w:t>简介</w:t>
      </w:r>
    </w:p>
    <w:p>
      <w:pPr>
        <w:ind w:firstLine="560" w:firstLineChars="200"/>
        <w:rPr>
          <w:rFonts w:hint="eastAsia"/>
          <w:sz w:val="28"/>
          <w:szCs w:val="28"/>
        </w:rPr>
      </w:pPr>
      <w:bookmarkStart w:id="0" w:name="_GoBack"/>
      <w:bookmarkEnd w:id="0"/>
      <w:r>
        <w:rPr>
          <w:rFonts w:hint="eastAsia"/>
          <w:sz w:val="28"/>
          <w:szCs w:val="28"/>
        </w:rPr>
        <w:t>民俗学与历史文化硕士点是中国史一级学科下的目录外二级学科硕士点。该硕士点于2017年全国学科调整时设立，其前身为社会学一级学科下的“民俗学”硕士点（浙江省“十一五”“十二五”高校重点学科）。该硕士点现有教师9人，其中在职教授3人，兼职教授1人。副教授2人，讲师2人，助教1人。注重民俗学与历史学的交叉与融合，培养民俗学与非物质文化遗产保护人才。下设三个研究方向：历史民俗学研究、非物质文化遗产研究、区域民俗研究。该点设有温州市发绣研究所、温州民俗博物馆，可作为研究生课外实践平台。</w:t>
      </w:r>
    </w:p>
    <w:p>
      <w:pPr>
        <w:ind w:firstLine="840" w:firstLineChars="300"/>
        <w:rPr>
          <w:rFonts w:hint="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27B45"/>
    <w:rsid w:val="000C6381"/>
    <w:rsid w:val="0022749E"/>
    <w:rsid w:val="004A55AE"/>
    <w:rsid w:val="007236DC"/>
    <w:rsid w:val="007F5288"/>
    <w:rsid w:val="00827B45"/>
    <w:rsid w:val="00844529"/>
    <w:rsid w:val="00A85DCD"/>
    <w:rsid w:val="00EE0C22"/>
    <w:rsid w:val="00FC62D0"/>
    <w:rsid w:val="4B724235"/>
    <w:rsid w:val="7F9305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uiPriority w:val="99"/>
    <w:rPr>
      <w:sz w:val="18"/>
      <w:szCs w:val="18"/>
    </w:rPr>
  </w:style>
  <w:style w:type="character" w:customStyle="1" w:styleId="7">
    <w:name w:val="页脚 Char"/>
    <w:basedOn w:val="4"/>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36</Words>
  <Characters>210</Characters>
  <Lines>1</Lines>
  <Paragraphs>1</Paragraphs>
  <TotalTime>1</TotalTime>
  <ScaleCrop>false</ScaleCrop>
  <LinksUpToDate>false</LinksUpToDate>
  <CharactersWithSpaces>245</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2018-05-02T14:13:00Z</dcterms:created>
  <dc:creator>dgm</dc:creator>
  <cp:lastModifiedBy>༺࿄࿆༼蕊翾༽࿅࿆༻</cp:lastModifiedBy>
  <dcterms:modified xsi:type="dcterms:W3CDTF">2018-07-15T02:07:47Z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2052-10.1.0.7400</vt:lpwstr>
  </property>
</Properties>
</file>