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50"/>
        <w:rPr>
          <w:rFonts w:hint="eastAsia" w:ascii="宋体" w:hAnsi="宋体" w:eastAsia="宋体"/>
          <w:sz w:val="24"/>
          <w:szCs w:val="24"/>
        </w:rPr>
      </w:pPr>
    </w:p>
    <w:p>
      <w:pPr>
        <w:ind w:firstLine="361" w:firstLineChars="150"/>
        <w:rPr>
          <w:rStyle w:val="5"/>
          <w:rFonts w:hint="default" w:ascii="宋体" w:hAnsi="宋体" w:eastAsia="宋体" w:cs="宋体"/>
          <w:color w:val="333333"/>
          <w:kern w:val="0"/>
          <w:sz w:val="24"/>
          <w:szCs w:val="24"/>
        </w:rPr>
      </w:pPr>
      <w:r>
        <w:rPr>
          <w:rStyle w:val="5"/>
          <w:rFonts w:hint="default" w:ascii="宋体" w:hAnsi="宋体" w:eastAsia="宋体" w:cs="宋体"/>
          <w:color w:val="333333"/>
          <w:kern w:val="0"/>
          <w:sz w:val="24"/>
          <w:szCs w:val="24"/>
        </w:rPr>
        <w:t>附</w:t>
      </w:r>
      <w:r>
        <w:rPr>
          <w:rStyle w:val="5"/>
          <w:rFonts w:ascii="宋体" w:hAnsi="宋体" w:eastAsia="宋体" w:cs="宋体"/>
          <w:color w:val="333333"/>
          <w:kern w:val="0"/>
          <w:sz w:val="24"/>
          <w:szCs w:val="24"/>
        </w:rPr>
        <w:t>件：</w:t>
      </w:r>
      <w:bookmarkStart w:id="0" w:name="_GoBack"/>
      <w:bookmarkEnd w:id="0"/>
    </w:p>
    <w:p>
      <w:pPr>
        <w:ind w:firstLine="316" w:firstLineChars="150"/>
        <w:rPr>
          <w:rStyle w:val="5"/>
          <w:rFonts w:ascii="宋体" w:hAnsi="宋体" w:eastAsia="宋体" w:cs="宋体"/>
          <w:color w:val="333333"/>
          <w:kern w:val="0"/>
        </w:rPr>
      </w:pPr>
    </w:p>
    <w:p>
      <w:pPr>
        <w:pStyle w:val="2"/>
        <w:shd w:val="clear" w:color="auto" w:fill="FEFEFE"/>
        <w:spacing w:before="0" w:beforeAutospacing="0" w:after="0" w:afterAutospacing="0"/>
        <w:jc w:val="center"/>
        <w:rPr>
          <w:rStyle w:val="5"/>
          <w:rFonts w:hint="default" w:ascii="宋体" w:hAnsi="宋体" w:eastAsia="宋体"/>
          <w:color w:val="333333"/>
          <w:sz w:val="32"/>
          <w:szCs w:val="32"/>
        </w:rPr>
      </w:pPr>
      <w:r>
        <w:rPr>
          <w:rStyle w:val="5"/>
          <w:rFonts w:hint="default" w:ascii="宋体" w:hAnsi="宋体" w:eastAsia="宋体"/>
          <w:color w:val="333333"/>
          <w:sz w:val="32"/>
          <w:szCs w:val="32"/>
        </w:rPr>
        <w:t>会计硕士专业学位研究生入学考试复试阶段</w:t>
      </w:r>
    </w:p>
    <w:p>
      <w:pPr>
        <w:pStyle w:val="2"/>
        <w:shd w:val="clear" w:color="auto" w:fill="FEFEFE"/>
        <w:spacing w:before="0" w:beforeAutospacing="0" w:after="0" w:afterAutospacing="0"/>
        <w:jc w:val="center"/>
        <w:rPr>
          <w:rFonts w:hint="eastAsia"/>
          <w:b/>
          <w:bCs/>
          <w:sz w:val="32"/>
          <w:szCs w:val="32"/>
        </w:rPr>
      </w:pPr>
      <w:r>
        <w:rPr>
          <w:rStyle w:val="5"/>
          <w:rFonts w:hint="default" w:ascii="宋体" w:hAnsi="宋体" w:eastAsia="宋体"/>
          <w:color w:val="333333"/>
          <w:sz w:val="32"/>
          <w:szCs w:val="32"/>
        </w:rPr>
        <w:t>专业课</w:t>
      </w:r>
      <w:r>
        <w:rPr>
          <w:rStyle w:val="5"/>
          <w:rFonts w:ascii="宋体" w:hAnsi="宋体" w:eastAsia="宋体"/>
          <w:sz w:val="32"/>
          <w:szCs w:val="32"/>
        </w:rPr>
        <w:t>考试</w:t>
      </w:r>
      <w:r>
        <w:rPr>
          <w:rStyle w:val="5"/>
          <w:rFonts w:hint="default" w:ascii="宋体" w:hAnsi="宋体" w:eastAsia="宋体"/>
          <w:color w:val="333333"/>
          <w:sz w:val="32"/>
          <w:szCs w:val="32"/>
        </w:rPr>
        <w:t>大纲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jc w:val="both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jc w:val="center"/>
        <w:rPr>
          <w:rFonts w:hint="eastAsia"/>
        </w:rPr>
      </w:pPr>
      <w:r>
        <w:rPr>
          <w:b/>
          <w:bCs/>
        </w:rPr>
        <w:t>第一部分   财务会计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第一章  总论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财务会计报告的目标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会计基本假设与会计基础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第三节  会计信息质量要求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第四节  会计要素及其确认与计量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第五节  财务会计报告的组成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第二章  金融资产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金融资产的分类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以摊余成本计量的金融资产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第三节  以公允价值计量且其变动计入其他综合收益的金融资产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第四节  以公允价值计量且其变动计入当期损益的金融资产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第三章  存货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存货的确认和初始计量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发出存货成本的计量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第三节  期末存货的计量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第四章  长期股权投资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长期股权投资的确认和初始计量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长期股权投资的后续计量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第五章  固定资产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固定资产的确认和初始计量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固定资产的后续计量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第三节  固定资产的处置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第六章  无形资产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无形资产的确认和初始计量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内部研究与开发支出的确认和计量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第三节  无形资产的后续计量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第四节 无形资产的处置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第七章  负债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流动负债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非流动负债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第八章  所有者权益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实收资本（股本）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资本公积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第三节  其他综合收益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第四节  留存收益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第九章  收入、费用和利润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收入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费用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第三节  直接计入当期利润的利得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第四节  直接计入当期利润的损失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第五节  利润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第十章  财务报告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财务报告概述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资产负债表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第三节  利润表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第四节  现金流量表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第五节  所有者权益变动表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第六节  附注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第十一章  或有事项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或有事项概述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或有事项的确认和计量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第三节  或有事项的列报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第十二章  资产负债表日后事项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资产负债表日后事项概述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调整事项的会计处理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第三节  非调整事项的会计处理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第十三章  会计政策、会计估计变更和差错更正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会计政策及其变更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会计估计及其变更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第三节  前期差错及其更正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 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jc w:val="center"/>
        <w:rPr>
          <w:rFonts w:hint="eastAsia"/>
        </w:rPr>
      </w:pPr>
      <w:r>
        <w:rPr>
          <w:b/>
          <w:bCs/>
        </w:rPr>
        <w:t>第二部分  财务管理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第一章  总论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财务管理的概念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财务管理的目标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第三节  财务管理的环境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第二章  财务估值的基础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货币时间价值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风险和收益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第三节  证券估值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第三章  财务分析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偿债能力分析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营运能力分析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第三节  获利能力分析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第四节  发展能力分析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第五节  综合财务分析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第四章  长期筹资决策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资本成本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资本结构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第三节  普通股筹资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第四节  长期负债筹资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第五章  投资决策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投资的概念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投资的现金流量分析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第三节  投资决策评价指标及其计算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第六章  营运资金管理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短期资产管理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短期筹资管理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第七章  股利分配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第一节  利润分配概述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第二节  股利支付的程序和方式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 xml:space="preserve">  第三节  股利理论与股利分配政策</w:t>
      </w:r>
    </w:p>
    <w:p>
      <w:pPr>
        <w:pStyle w:val="2"/>
        <w:shd w:val="clear" w:color="auto" w:fill="FEFEFE"/>
        <w:spacing w:before="0" w:beforeAutospacing="0" w:after="0" w:afterAutospacing="0"/>
        <w:ind w:firstLine="480"/>
        <w:rPr>
          <w:rFonts w:hint="eastAsia"/>
        </w:rPr>
      </w:pPr>
      <w:r>
        <w:rPr>
          <w:rFonts w:hint="eastAsia"/>
        </w:rPr>
        <w:t> </w:t>
      </w:r>
    </w:p>
    <w:p>
      <w:pPr>
        <w:pStyle w:val="2"/>
        <w:shd w:val="clear" w:color="auto" w:fill="FEFEFE"/>
        <w:spacing w:before="0" w:beforeAutospacing="0" w:after="0" w:afterAutospacing="0"/>
        <w:jc w:val="center"/>
        <w:rPr>
          <w:rFonts w:hint="eastAsia"/>
        </w:rPr>
      </w:pPr>
      <w:r>
        <w:rPr>
          <w:b/>
          <w:bCs/>
        </w:rPr>
        <w:t>第三部分  审  计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第一章  总论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第一节  审计的定义和特征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第二节  审计的职能和作用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第三节  审计的分类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第四节  审计准则、职业道德和法律责任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第二章  财务报表审计的核心概念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第一节  审计目标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第二节  重要性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第三节  审计风险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第四节  审计证据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第五节  审计程序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第三章  财务报表审计的思路和步骤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第一节  风险导向审计的基本思路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第二节  风险评估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第三节  控制测试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第四节  实质性程序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第四章  主要业务循环的审计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第一节  销售与收款循环的审计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第二节  采购与付款循环的审计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第三节  生产与职工薪酬循环的审计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第四节  筹资与投资循环的审计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第五节  货币资金与特殊项目的审计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第五章  审计报告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第一节  审计意见的形成和类型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第二节  标准审计报告的结构和内容</w:t>
      </w:r>
    </w:p>
    <w:p>
      <w:pPr>
        <w:pStyle w:val="2"/>
        <w:shd w:val="clear" w:color="auto" w:fill="FEFEFE"/>
        <w:spacing w:before="0" w:beforeAutospacing="0" w:after="0" w:afterAutospacing="0"/>
        <w:rPr>
          <w:rFonts w:hint="eastAsia"/>
        </w:rPr>
      </w:pPr>
      <w:r>
        <w:rPr>
          <w:rFonts w:hint="eastAsia"/>
        </w:rPr>
        <w:t xml:space="preserve">     第三节  非标准审计报告的结构和内容</w:t>
      </w:r>
    </w:p>
    <w:p>
      <w:pPr>
        <w:ind w:firstLine="720" w:firstLineChars="300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7AD0"/>
    <w:rsid w:val="002A54CA"/>
    <w:rsid w:val="0030366F"/>
    <w:rsid w:val="00566F78"/>
    <w:rsid w:val="008057BE"/>
    <w:rsid w:val="00CE32B4"/>
    <w:rsid w:val="00DC15B6"/>
    <w:rsid w:val="00E50598"/>
    <w:rsid w:val="00E72A9E"/>
    <w:rsid w:val="00E87AD0"/>
    <w:rsid w:val="2B807A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15"/>
    <w:basedOn w:val="4"/>
    <w:qFormat/>
    <w:uiPriority w:val="0"/>
    <w:rPr>
      <w:rFonts w:hint="eastAsia" w:ascii="等线" w:hAnsi="等线" w:eastAsia="等线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305</Words>
  <Characters>1739</Characters>
  <Lines>14</Lines>
  <Paragraphs>4</Paragraphs>
  <TotalTime>40</TotalTime>
  <ScaleCrop>false</ScaleCrop>
  <LinksUpToDate>false</LinksUpToDate>
  <CharactersWithSpaces>2040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2019-03-20T12:16:00Z</dcterms:created>
  <dc:creator>HP</dc:creator>
  <cp:lastModifiedBy>ACER</cp:lastModifiedBy>
  <dcterms:modified xsi:type="dcterms:W3CDTF">2019-03-21T00:33:55Z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