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40" w:lineRule="atLeast"/>
        <w:ind w:firstLine="640"/>
        <w:jc w:val="center"/>
        <w:rPr>
          <w:rFonts w:ascii="Verdana" w:hAnsi="Verdana"/>
          <w:b/>
          <w:bCs/>
          <w:sz w:val="36"/>
          <w:szCs w:val="36"/>
        </w:rPr>
      </w:pPr>
      <w:r>
        <w:rPr>
          <w:rFonts w:ascii="Verdana" w:hAnsi="Verdana"/>
          <w:b/>
          <w:bCs/>
          <w:sz w:val="36"/>
          <w:szCs w:val="36"/>
        </w:rPr>
        <w:t>长春工业大学201</w:t>
      </w:r>
      <w:r>
        <w:rPr>
          <w:rFonts w:hint="eastAsia" w:ascii="Verdana" w:hAnsi="Verdana"/>
          <w:b/>
          <w:bCs/>
          <w:sz w:val="36"/>
          <w:szCs w:val="36"/>
        </w:rPr>
        <w:t>9</w:t>
      </w:r>
      <w:r>
        <w:rPr>
          <w:rFonts w:ascii="Verdana" w:hAnsi="Verdana"/>
          <w:b/>
          <w:bCs/>
          <w:sz w:val="36"/>
          <w:szCs w:val="36"/>
        </w:rPr>
        <w:t>年</w:t>
      </w:r>
      <w:r>
        <w:rPr>
          <w:rFonts w:hint="eastAsia" w:ascii="Verdana" w:hAnsi="Verdana"/>
          <w:b/>
          <w:bCs/>
          <w:sz w:val="36"/>
          <w:szCs w:val="36"/>
        </w:rPr>
        <w:t>数学与统计学院</w:t>
      </w:r>
      <w:r>
        <w:rPr>
          <w:rFonts w:ascii="Verdana" w:hAnsi="Verdana"/>
          <w:b/>
          <w:bCs/>
          <w:sz w:val="36"/>
          <w:szCs w:val="36"/>
        </w:rPr>
        <w:t>硕士研究生招生复试</w:t>
      </w:r>
      <w:r>
        <w:rPr>
          <w:rFonts w:hint="eastAsia" w:ascii="Verdana" w:hAnsi="Verdana"/>
          <w:b/>
          <w:bCs/>
          <w:sz w:val="36"/>
          <w:szCs w:val="36"/>
        </w:rPr>
        <w:t>实施细则</w:t>
      </w:r>
    </w:p>
    <w:p>
      <w:pPr>
        <w:ind w:firstLine="560" w:firstLineChars="20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sz w:val="28"/>
          <w:szCs w:val="28"/>
        </w:rPr>
        <w:t>按照《教育部关于印发&lt;2019年全国硕士研究生招生工作管理规定&gt;的通知》（教育[2018]5号）、《教育部办公厅关于进一步规范和加强研究生考试招生工作的通知》和吉林省教育考试院《关于做好吉林省2019年全国硕士研究生招生录取工作的通知》（吉教考字[2019]29号）等文件精神，在充分认识2019年硕士研究生招生工作面临的新形势的基础上，</w:t>
      </w:r>
      <w:r>
        <w:rPr>
          <w:rFonts w:hint="eastAsia" w:asciiTheme="majorEastAsia" w:hAnsiTheme="majorEastAsia" w:eastAsiaTheme="majorEastAsia" w:cstheme="majorEastAsia"/>
          <w:color w:val="000000"/>
          <w:sz w:val="28"/>
          <w:szCs w:val="28"/>
        </w:rPr>
        <w:t>结合我院实际情况，确保复试录取工作程序严谨，操作规范，制定2019年硕士研究生招生复试实施细则。</w:t>
      </w:r>
    </w:p>
    <w:p>
      <w:pPr>
        <w:pStyle w:val="2"/>
        <w:wordWrap w:val="0"/>
        <w:spacing w:line="540" w:lineRule="atLeast"/>
        <w:ind w:firstLine="64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一、复试工作的实施原则</w:t>
      </w:r>
    </w:p>
    <w:p>
      <w:pPr>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树立科学的人才选拔理念，坚持能力与知识考核并重,着力加强对考生创新能力和专业素养的考查，注重考生一贯表现，既重视初试成绩，也重视既往学业表现和潜在能力素质。公开透明地完成2019年硕士研究生招生复试录取工作。加强领导、强化监督、公平公正、平稳顺利。</w:t>
      </w:r>
    </w:p>
    <w:p>
      <w:pPr>
        <w:numPr>
          <w:ilvl w:val="0"/>
          <w:numId w:val="1"/>
        </w:numPr>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组织管理</w:t>
      </w:r>
    </w:p>
    <w:p>
      <w:pPr>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学院成立由主管院长任组长的研究生招生工作领导小组，按照学校本年度硕士研究生复试录取工作安排，负责具体落实本学院的研究生复试和录取工作。</w:t>
      </w:r>
    </w:p>
    <w:p>
      <w:pPr>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学院按招生专业按复试考生人数组织成立若干复试小组，复试小组不少于5人，在学校研究生招生工作领导小组和学院研究生招生工作领导小组的指导下具体实施复试工作。</w:t>
      </w:r>
    </w:p>
    <w:p>
      <w:pPr>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根据学校制定的复试工作人员遴选、培训办法和行为规范，学院对本单位复试工作人员进行集中培训。</w:t>
      </w:r>
    </w:p>
    <w:p>
      <w:pPr>
        <w:pStyle w:val="2"/>
        <w:wordWrap w:val="0"/>
        <w:spacing w:line="540" w:lineRule="atLeast"/>
        <w:ind w:firstLine="560" w:firstLineChars="20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三、相关专业复试时间、地点</w:t>
      </w:r>
    </w:p>
    <w:p>
      <w:pPr>
        <w:pStyle w:val="2"/>
        <w:wordWrap w:val="0"/>
        <w:spacing w:line="540" w:lineRule="atLeas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1、笔试：</w:t>
      </w:r>
    </w:p>
    <w:p>
      <w:pPr>
        <w:pStyle w:val="2"/>
        <w:wordWrap w:val="0"/>
        <w:spacing w:line="540" w:lineRule="atLeas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复试时间：2019年</w:t>
      </w:r>
      <w:r>
        <w:rPr>
          <w:rFonts w:hint="eastAsia" w:asciiTheme="majorEastAsia" w:hAnsiTheme="majorEastAsia" w:eastAsiaTheme="majorEastAsia" w:cstheme="majorEastAsia"/>
          <w:sz w:val="28"/>
          <w:szCs w:val="28"/>
          <w:lang w:val="en-US" w:eastAsia="zh-CN"/>
        </w:rPr>
        <w:t>4</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lang w:val="en-US" w:eastAsia="zh-CN"/>
        </w:rPr>
        <w:t>17</w:t>
      </w:r>
      <w:r>
        <w:rPr>
          <w:rFonts w:hint="eastAsia" w:asciiTheme="majorEastAsia" w:hAnsiTheme="majorEastAsia" w:eastAsiaTheme="majorEastAsia" w:cstheme="majorEastAsia"/>
          <w:sz w:val="28"/>
          <w:szCs w:val="28"/>
        </w:rPr>
        <w:t>日（星期</w:t>
      </w:r>
      <w:r>
        <w:rPr>
          <w:rFonts w:hint="eastAsia" w:asciiTheme="majorEastAsia" w:hAnsiTheme="majorEastAsia" w:eastAsiaTheme="majorEastAsia" w:cstheme="majorEastAsia"/>
          <w:sz w:val="28"/>
          <w:szCs w:val="28"/>
          <w:lang w:val="en-US" w:eastAsia="zh-CN"/>
        </w:rPr>
        <w:t>三</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下午13</w:t>
      </w:r>
      <w:r>
        <w:rPr>
          <w:rFonts w:hint="eastAsia" w:asciiTheme="majorEastAsia" w:hAnsiTheme="majorEastAsia" w:eastAsiaTheme="majorEastAsia" w:cstheme="majorEastAsia"/>
          <w:sz w:val="28"/>
          <w:szCs w:val="28"/>
        </w:rPr>
        <w:t>:00</w:t>
      </w:r>
    </w:p>
    <w:p>
      <w:pPr>
        <w:pStyle w:val="2"/>
        <w:wordWrap w:val="0"/>
        <w:spacing w:line="540" w:lineRule="atLeas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复试地点</w:t>
      </w: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应用统计专业 南湖校区教学科研楼22</w:t>
      </w:r>
      <w:r>
        <w:rPr>
          <w:rFonts w:hint="eastAsia" w:asciiTheme="majorEastAsia" w:hAnsiTheme="majorEastAsia" w:eastAsiaTheme="majorEastAsia" w:cstheme="majorEastAsia"/>
          <w:sz w:val="28"/>
          <w:szCs w:val="28"/>
          <w:lang w:val="en-US" w:eastAsia="zh-CN"/>
        </w:rPr>
        <w:t>05</w:t>
      </w:r>
      <w:r>
        <w:rPr>
          <w:rFonts w:hint="eastAsia" w:asciiTheme="majorEastAsia" w:hAnsiTheme="majorEastAsia" w:eastAsiaTheme="majorEastAsia" w:cstheme="majorEastAsia"/>
          <w:sz w:val="28"/>
          <w:szCs w:val="28"/>
        </w:rPr>
        <w:t>室</w:t>
      </w:r>
    </w:p>
    <w:p>
      <w:pPr>
        <w:pStyle w:val="2"/>
        <w:wordWrap w:val="0"/>
        <w:spacing w:line="540" w:lineRule="atLeast"/>
        <w:ind w:firstLine="560" w:firstLineChars="20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2、面试：</w:t>
      </w:r>
    </w:p>
    <w:p>
      <w:pPr>
        <w:pStyle w:val="2"/>
        <w:wordWrap w:val="0"/>
        <w:spacing w:line="540" w:lineRule="atLeas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color w:val="000000"/>
          <w:sz w:val="28"/>
          <w:szCs w:val="28"/>
        </w:rPr>
        <w:t>面试时间；</w:t>
      </w:r>
      <w:r>
        <w:rPr>
          <w:rFonts w:hint="eastAsia" w:asciiTheme="majorEastAsia" w:hAnsiTheme="majorEastAsia" w:eastAsiaTheme="majorEastAsia" w:cstheme="majorEastAsia"/>
          <w:sz w:val="28"/>
          <w:szCs w:val="28"/>
        </w:rPr>
        <w:t>2019年</w:t>
      </w:r>
      <w:r>
        <w:rPr>
          <w:rFonts w:hint="eastAsia" w:asciiTheme="majorEastAsia" w:hAnsiTheme="majorEastAsia" w:eastAsiaTheme="majorEastAsia" w:cstheme="majorEastAsia"/>
          <w:sz w:val="28"/>
          <w:szCs w:val="28"/>
          <w:lang w:val="en-US" w:eastAsia="zh-CN"/>
        </w:rPr>
        <w:t>4</w:t>
      </w:r>
      <w:r>
        <w:rPr>
          <w:rFonts w:hint="eastAsia" w:asciiTheme="majorEastAsia" w:hAnsiTheme="majorEastAsia" w:eastAsiaTheme="majorEastAsia" w:cstheme="majorEastAsia"/>
          <w:sz w:val="28"/>
          <w:szCs w:val="28"/>
        </w:rPr>
        <w:t>月</w:t>
      </w:r>
      <w:r>
        <w:rPr>
          <w:rFonts w:hint="eastAsia" w:asciiTheme="majorEastAsia" w:hAnsiTheme="majorEastAsia" w:eastAsiaTheme="majorEastAsia" w:cstheme="majorEastAsia"/>
          <w:sz w:val="28"/>
          <w:szCs w:val="28"/>
          <w:lang w:val="en-US" w:eastAsia="zh-CN"/>
        </w:rPr>
        <w:t>1</w:t>
      </w:r>
      <w:r>
        <w:rPr>
          <w:rFonts w:hint="eastAsia" w:asciiTheme="majorEastAsia" w:hAnsiTheme="majorEastAsia" w:eastAsiaTheme="majorEastAsia" w:cstheme="majorEastAsia"/>
          <w:sz w:val="28"/>
          <w:szCs w:val="28"/>
        </w:rPr>
        <w:t>7日（星期三）上午8:00</w:t>
      </w:r>
    </w:p>
    <w:p>
      <w:pPr>
        <w:pStyle w:val="2"/>
        <w:wordWrap w:val="0"/>
        <w:spacing w:line="540" w:lineRule="atLeas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面试地点：南湖校区新图书馆5302室</w:t>
      </w:r>
    </w:p>
    <w:p>
      <w:pPr>
        <w:pStyle w:val="2"/>
        <w:wordWrap w:val="0"/>
        <w:spacing w:line="540" w:lineRule="atLeast"/>
        <w:ind w:firstLine="560" w:firstLineChars="20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四、复试工作的内容和方式</w:t>
      </w:r>
    </w:p>
    <w:p>
      <w:pPr>
        <w:tabs>
          <w:tab w:val="left" w:pos="0"/>
          <w:tab w:val="left" w:pos="846"/>
          <w:tab w:val="left" w:pos="1985"/>
        </w:tabs>
        <w:spacing w:line="560" w:lineRule="exact"/>
        <w:ind w:firstLine="562"/>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复试分为专业课考试和综合能力面试（外语听力、口语水平测试及学科面试），全日制和非全日制考生统一考试，统一面试，按总成绩和招生计划分别录取。</w:t>
      </w:r>
    </w:p>
    <w:p>
      <w:pPr>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1、专业课笔试：</w:t>
      </w:r>
    </w:p>
    <w:p>
      <w:pPr>
        <w:tabs>
          <w:tab w:val="left" w:pos="0"/>
          <w:tab w:val="left" w:pos="846"/>
          <w:tab w:val="left" w:pos="1985"/>
        </w:tabs>
        <w:spacing w:line="560" w:lineRule="exact"/>
        <w:ind w:firstLine="562"/>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专业课的考试采取笔试形式，考试时间为3小时，满分为150分。专业课考试由各相关学院组织命题、考务及评卷工作。各复试面试小组成员一般不参加本专业的专业课笔试命题工作。</w:t>
      </w:r>
    </w:p>
    <w:p>
      <w:pPr>
        <w:ind w:left="64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2、综合能力面试：</w:t>
      </w:r>
    </w:p>
    <w:p>
      <w:pPr>
        <w:ind w:firstLine="63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综合能力面试一般采取口试、笔试及实践环节相结合的方式进行，以口试为主。每位考生面试时间不少于20分钟，其中外语口语测试时间为3-4分钟。复试面试成绩满分100分，面试老师当场评分，成绩取平均分。</w:t>
      </w:r>
    </w:p>
    <w:p>
      <w:pPr>
        <w:pStyle w:val="2"/>
        <w:wordWrap w:val="0"/>
        <w:spacing w:line="540" w:lineRule="atLeas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color w:val="000000"/>
          <w:sz w:val="28"/>
          <w:szCs w:val="28"/>
        </w:rPr>
        <w:t>五、复试具体实施办法</w:t>
      </w:r>
    </w:p>
    <w:p>
      <w:pPr>
        <w:pStyle w:val="2"/>
        <w:wordWrap w:val="0"/>
        <w:spacing w:line="540" w:lineRule="atLeast"/>
        <w:ind w:firstLine="64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sz w:val="28"/>
          <w:szCs w:val="28"/>
        </w:rPr>
        <w:t>1、专业课考试采取笔试方式进行，考试时间为3小时，满分150分。专业考试科目具体如下：</w:t>
      </w:r>
    </w:p>
    <w:p>
      <w:pPr>
        <w:pStyle w:val="2"/>
        <w:wordWrap w:val="0"/>
        <w:spacing w:line="540" w:lineRule="atLeast"/>
        <w:ind w:firstLine="64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应用统计专业：概率论</w:t>
      </w:r>
    </w:p>
    <w:p>
      <w:pPr>
        <w:pStyle w:val="2"/>
        <w:wordWrap w:val="0"/>
        <w:spacing w:line="540" w:lineRule="atLeast"/>
        <w:ind w:firstLine="64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sz w:val="28"/>
          <w:szCs w:val="28"/>
        </w:rPr>
        <w:t>2、复试面试内容及评分标准：</w:t>
      </w:r>
    </w:p>
    <w:p>
      <w:pPr>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基本素质占20分：考查考生政治态度、社会主义核心价值观、思想表现、学习（工作）态度、道德品质、守法表现、奖惩情况。</w:t>
      </w:r>
    </w:p>
    <w:p>
      <w:pPr>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外语水平占20分：考查考生外语的听、说、读等能力，一般应包括公共外语和专业外语。主要从语言准确性、话语的长短和连贯性、语言的灵活性和适合性等方面考查。</w:t>
      </w:r>
    </w:p>
    <w:p>
      <w:pPr>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基础知识和专业知识占30分：考查考生对基础知识和专业知识掌握的情况，了解本科期间的学习、工作及奖励等情况。</w:t>
      </w:r>
    </w:p>
    <w:p>
      <w:pPr>
        <w:pStyle w:val="2"/>
        <w:wordWrap w:val="0"/>
        <w:spacing w:line="540" w:lineRule="atLeast"/>
        <w:ind w:firstLine="640"/>
        <w:rPr>
          <w:rFonts w:asciiTheme="majorEastAsia" w:hAnsiTheme="majorEastAsia" w:eastAsiaTheme="majorEastAsia" w:cstheme="majorEastAsia"/>
          <w:b/>
          <w:color w:val="000000"/>
          <w:sz w:val="28"/>
          <w:szCs w:val="28"/>
        </w:rPr>
      </w:pPr>
      <w:r>
        <w:rPr>
          <w:rFonts w:hint="eastAsia" w:asciiTheme="majorEastAsia" w:hAnsiTheme="majorEastAsia" w:eastAsiaTheme="majorEastAsia" w:cstheme="majorEastAsia"/>
          <w:sz w:val="28"/>
          <w:szCs w:val="28"/>
        </w:rPr>
        <w:t>综合能力占30分：考查考生综合运用所学知识的能力、科研创新能力、对本学科前沿领域及最新研究动态的掌握情况。判断考生是否具备硕士生培养的潜能和素质。</w:t>
      </w:r>
    </w:p>
    <w:p>
      <w:pPr>
        <w:pStyle w:val="2"/>
        <w:wordWrap w:val="0"/>
        <w:spacing w:line="540" w:lineRule="atLeast"/>
        <w:ind w:firstLine="64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综合面试主要考核考生政治态度、社会主义核心价值观、思想表现、学习（工作）态度、道德品质、守法表现、基础知识和专业知识的掌握、综合运用所学知识的能力、科研创新能力以及外语水平。</w:t>
      </w:r>
    </w:p>
    <w:p>
      <w:pPr>
        <w:pStyle w:val="2"/>
        <w:numPr>
          <w:ilvl w:val="0"/>
          <w:numId w:val="2"/>
        </w:numPr>
        <w:wordWrap w:val="0"/>
        <w:spacing w:line="540" w:lineRule="atLeast"/>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color w:val="000000"/>
          <w:sz w:val="28"/>
          <w:szCs w:val="28"/>
        </w:rPr>
        <w:t>复试成绩</w:t>
      </w:r>
      <w:r>
        <w:rPr>
          <w:rFonts w:hint="eastAsia" w:asciiTheme="majorEastAsia" w:hAnsiTheme="majorEastAsia" w:eastAsiaTheme="majorEastAsia" w:cstheme="majorEastAsia"/>
          <w:sz w:val="28"/>
          <w:szCs w:val="28"/>
        </w:rPr>
        <w:t>=复试专业课成绩折算成百分制*40%+面试成绩*60%</w:t>
      </w:r>
    </w:p>
    <w:p>
      <w:pPr>
        <w:pStyle w:val="2"/>
        <w:wordWrap w:val="0"/>
        <w:spacing w:line="540" w:lineRule="atLeast"/>
        <w:ind w:firstLine="1120" w:firstLineChars="40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总成绩=初试成绩(500分满分)/5*70%+复试成绩*30%。</w:t>
      </w:r>
    </w:p>
    <w:p>
      <w:pPr>
        <w:spacing w:line="360" w:lineRule="auto"/>
        <w:ind w:firstLine="565" w:firstLineChars="202"/>
        <w:rPr>
          <w:rFonts w:asciiTheme="majorEastAsia" w:hAnsiTheme="majorEastAsia" w:eastAsiaTheme="majorEastAsia" w:cstheme="majorEastAsia"/>
          <w:sz w:val="28"/>
          <w:szCs w:val="28"/>
        </w:rPr>
      </w:pPr>
      <w:r>
        <w:rPr>
          <w:rFonts w:hint="eastAsia" w:asciiTheme="majorEastAsia" w:hAnsiTheme="majorEastAsia" w:eastAsiaTheme="majorEastAsia" w:cstheme="majorEastAsia"/>
          <w:color w:val="000000"/>
          <w:sz w:val="28"/>
          <w:szCs w:val="28"/>
        </w:rPr>
        <w:t>4、</w:t>
      </w:r>
      <w:r>
        <w:rPr>
          <w:rFonts w:hint="eastAsia" w:asciiTheme="majorEastAsia" w:hAnsiTheme="majorEastAsia" w:eastAsiaTheme="majorEastAsia" w:cstheme="majorEastAsia"/>
          <w:color w:val="000000"/>
          <w:spacing w:val="2"/>
          <w:sz w:val="28"/>
          <w:szCs w:val="28"/>
        </w:rPr>
        <w:t>同等学力考生参加复试时需加试两门大学本科主干课程，专业加试科目如下：</w:t>
      </w:r>
    </w:p>
    <w:p>
      <w:pPr>
        <w:spacing w:line="360" w:lineRule="auto"/>
        <w:ind w:firstLine="488"/>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应用统计：数理统计和回归分析</w:t>
      </w:r>
    </w:p>
    <w:p>
      <w:pPr>
        <w:ind w:firstLine="63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5、对于初试成绩合格且按同等学力报考的考生，要加试两门与报考专业相关的本科主干课程。加试科目不得与初试科目相同。加试方式为笔试。</w:t>
      </w:r>
    </w:p>
    <w:p>
      <w:pPr>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6、复试中发现考生综合素质不合格的，复试面试小组有权直接提出复试不合格意见，必要时可对考生再次进行复试。</w:t>
      </w:r>
    </w:p>
    <w:p>
      <w:pPr>
        <w:pStyle w:val="2"/>
        <w:wordWrap w:val="0"/>
        <w:spacing w:line="540" w:lineRule="atLeast"/>
        <w:ind w:firstLine="640"/>
        <w:rPr>
          <w:rFonts w:asciiTheme="majorEastAsia" w:hAnsiTheme="majorEastAsia" w:eastAsiaTheme="majorEastAsia" w:cstheme="majorEastAsia"/>
          <w:color w:val="000000"/>
          <w:spacing w:val="2"/>
          <w:sz w:val="28"/>
          <w:szCs w:val="28"/>
        </w:rPr>
      </w:pPr>
      <w:r>
        <w:rPr>
          <w:rFonts w:hint="eastAsia" w:asciiTheme="majorEastAsia" w:hAnsiTheme="majorEastAsia" w:eastAsiaTheme="majorEastAsia" w:cstheme="majorEastAsia"/>
          <w:color w:val="000000"/>
          <w:sz w:val="28"/>
          <w:szCs w:val="28"/>
        </w:rPr>
        <w:t>7、</w:t>
      </w:r>
      <w:r>
        <w:rPr>
          <w:rFonts w:hint="eastAsia" w:asciiTheme="majorEastAsia" w:hAnsiTheme="majorEastAsia" w:eastAsiaTheme="majorEastAsia" w:cstheme="majorEastAsia"/>
          <w:color w:val="000000"/>
          <w:spacing w:val="2"/>
          <w:sz w:val="28"/>
          <w:szCs w:val="28"/>
        </w:rPr>
        <w:t>复试结束后，学院将复试结果上报学校，批准后在研究生院网页上公布。</w:t>
      </w:r>
    </w:p>
    <w:p>
      <w:pPr>
        <w:pStyle w:val="2"/>
        <w:wordWrap w:val="0"/>
        <w:spacing w:line="540" w:lineRule="atLeast"/>
        <w:ind w:firstLine="640"/>
        <w:rPr>
          <w:rFonts w:asciiTheme="majorEastAsia" w:hAnsiTheme="majorEastAsia" w:eastAsiaTheme="majorEastAsia" w:cstheme="majorEastAsia"/>
          <w:color w:val="000000"/>
          <w:spacing w:val="2"/>
          <w:sz w:val="28"/>
          <w:szCs w:val="28"/>
        </w:rPr>
      </w:pPr>
      <w:r>
        <w:rPr>
          <w:rFonts w:hint="eastAsia" w:asciiTheme="majorEastAsia" w:hAnsiTheme="majorEastAsia" w:eastAsiaTheme="majorEastAsia" w:cstheme="majorEastAsia"/>
          <w:color w:val="000000"/>
          <w:spacing w:val="2"/>
          <w:sz w:val="28"/>
          <w:szCs w:val="28"/>
        </w:rPr>
        <w:t>六、复试工作要求</w:t>
      </w:r>
    </w:p>
    <w:p>
      <w:pPr>
        <w:pStyle w:val="2"/>
        <w:ind w:firstLine="560" w:firstLineChars="200"/>
        <w:jc w:val="both"/>
        <w:rPr>
          <w:rFonts w:asciiTheme="majorEastAsia" w:hAnsiTheme="majorEastAsia" w:eastAsiaTheme="majorEastAsia" w:cstheme="majorEastAsia"/>
          <w:color w:val="000000"/>
          <w:spacing w:val="2"/>
          <w:sz w:val="28"/>
          <w:szCs w:val="28"/>
        </w:rPr>
      </w:pPr>
      <w:r>
        <w:rPr>
          <w:rFonts w:hint="eastAsia" w:asciiTheme="majorEastAsia" w:hAnsiTheme="majorEastAsia" w:eastAsiaTheme="majorEastAsia" w:cstheme="majorEastAsia"/>
          <w:kern w:val="2"/>
          <w:sz w:val="28"/>
          <w:szCs w:val="28"/>
        </w:rPr>
        <w:t>1、加强诚信评判和作弊考生查处。学校将诚信考核作为重要环节纳入复试工作，强化对考生诚信的要求。对弄虚作假及考试违规、作弊的考生，一律按照《国家教育考试违规处理办法》和《普通高等学校学生管理规定》等严肃处理。</w:t>
      </w:r>
    </w:p>
    <w:p>
      <w:pPr>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学院成立由研究生导师组成的5人复试小组，复试小组名单上报学校研招办审核、备案。复试小组中要有外语水平较高，负责外语口语测试的成员。小组成员须现场独立评分，评分记录和考生作答情况要交研究生院招生工作办公室集中统一保管，任何人不得改动。</w:t>
      </w:r>
    </w:p>
    <w:p>
      <w:pPr>
        <w:ind w:firstLine="560" w:firstLineChars="20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3、学院复试过程要进行全程录音录像，不允许任何人干预复试录取结果。</w:t>
      </w:r>
    </w:p>
    <w:p>
      <w:pPr>
        <w:ind w:firstLine="560" w:firstLineChars="200"/>
        <w:rPr>
          <w:rFonts w:asciiTheme="majorEastAsia" w:hAnsiTheme="majorEastAsia" w:eastAsiaTheme="majorEastAsia" w:cstheme="majorEastAsia"/>
          <w:color w:val="000000"/>
          <w:spacing w:val="2"/>
          <w:sz w:val="28"/>
          <w:szCs w:val="28"/>
        </w:rPr>
      </w:pPr>
      <w:r>
        <w:rPr>
          <w:rFonts w:hint="eastAsia" w:asciiTheme="majorEastAsia" w:hAnsiTheme="majorEastAsia" w:eastAsiaTheme="majorEastAsia" w:cstheme="majorEastAsia"/>
          <w:sz w:val="28"/>
          <w:szCs w:val="28"/>
        </w:rPr>
        <w:t>4、学院组织多批次复试，复试试题应掌握同一命题标准，每一批次单独命题，不得重复使用。</w:t>
      </w:r>
    </w:p>
    <w:p>
      <w:pPr>
        <w:pStyle w:val="2"/>
        <w:wordWrap w:val="0"/>
        <w:spacing w:line="540" w:lineRule="atLeast"/>
        <w:ind w:firstLine="640"/>
        <w:rPr>
          <w:rFonts w:asciiTheme="majorEastAsia" w:hAnsiTheme="majorEastAsia" w:eastAsiaTheme="majorEastAsia" w:cstheme="majorEastAsia"/>
          <w:color w:val="000000"/>
          <w:spacing w:val="2"/>
          <w:sz w:val="28"/>
          <w:szCs w:val="28"/>
        </w:rPr>
      </w:pPr>
      <w:r>
        <w:rPr>
          <w:rFonts w:hint="eastAsia" w:asciiTheme="majorEastAsia" w:hAnsiTheme="majorEastAsia" w:eastAsiaTheme="majorEastAsia" w:cstheme="majorEastAsia"/>
          <w:color w:val="000000"/>
          <w:spacing w:val="2"/>
          <w:sz w:val="28"/>
          <w:szCs w:val="28"/>
        </w:rPr>
        <w:t>七、录取</w:t>
      </w:r>
    </w:p>
    <w:p>
      <w:pPr>
        <w:pStyle w:val="2"/>
        <w:wordWrap w:val="0"/>
        <w:spacing w:line="540" w:lineRule="atLeast"/>
        <w:ind w:firstLine="64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（一）总成绩排名方式</w:t>
      </w:r>
    </w:p>
    <w:p>
      <w:pPr>
        <w:pStyle w:val="2"/>
        <w:wordWrap w:val="0"/>
        <w:spacing w:line="540" w:lineRule="atLeast"/>
        <w:ind w:firstLine="64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1、全日制考生和非全日制考生分别按总成绩由高到低排序。</w:t>
      </w:r>
    </w:p>
    <w:p>
      <w:pPr>
        <w:pStyle w:val="2"/>
        <w:wordWrap w:val="0"/>
        <w:spacing w:line="540" w:lineRule="atLeast"/>
        <w:ind w:firstLine="64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2、一志愿考生与调剂考生分别按总成绩由高到低排序。</w:t>
      </w:r>
    </w:p>
    <w:p>
      <w:pPr>
        <w:pStyle w:val="2"/>
        <w:wordWrap w:val="0"/>
        <w:spacing w:line="540" w:lineRule="atLeast"/>
        <w:ind w:firstLine="64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（二）录取原则</w:t>
      </w:r>
    </w:p>
    <w:p>
      <w:pPr>
        <w:pStyle w:val="2"/>
        <w:wordWrap w:val="0"/>
        <w:spacing w:line="540" w:lineRule="atLeast"/>
        <w:ind w:firstLine="64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1、学校将依据考生初试成绩、复试成绩、思想政治表现、身体健康状况等择优确定拟录取名单。</w:t>
      </w:r>
    </w:p>
    <w:p>
      <w:pPr>
        <w:pStyle w:val="2"/>
        <w:wordWrap w:val="0"/>
        <w:spacing w:line="540" w:lineRule="atLeast"/>
        <w:ind w:firstLine="64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2、考生接受待录取通知后，原则上不予解除。</w:t>
      </w:r>
    </w:p>
    <w:p>
      <w:pPr>
        <w:pStyle w:val="2"/>
        <w:wordWrap w:val="0"/>
        <w:spacing w:line="540" w:lineRule="atLeast"/>
        <w:ind w:firstLine="64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3、复试成绩不合格考生，不予录取。</w:t>
      </w:r>
    </w:p>
    <w:p>
      <w:pPr>
        <w:pStyle w:val="2"/>
        <w:wordWrap w:val="0"/>
        <w:spacing w:line="540" w:lineRule="atLeast"/>
        <w:ind w:firstLine="64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4、如有破格复试录取考生，破格录取人数不得超过学校招生计划的3%。</w:t>
      </w:r>
    </w:p>
    <w:p>
      <w:pPr>
        <w:pStyle w:val="2"/>
        <w:wordWrap w:val="0"/>
        <w:spacing w:line="540" w:lineRule="atLeast"/>
        <w:ind w:firstLine="64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5、定向就业的硕士研究生须在被录取前与学校、所在单位分别签订定向就业合同。考生因报考硕士研究生与所在单位产生的问题由考生自行处理。若因此造成考生不能复试或无法录取，学校不承担任何责任。</w:t>
      </w:r>
    </w:p>
    <w:p>
      <w:pPr>
        <w:pStyle w:val="2"/>
        <w:wordWrap w:val="0"/>
        <w:spacing w:line="540" w:lineRule="atLeast"/>
        <w:ind w:firstLine="640"/>
        <w:rPr>
          <w:rFonts w:asciiTheme="majorEastAsia" w:hAnsiTheme="majorEastAsia" w:eastAsiaTheme="majorEastAsia" w:cstheme="majorEastAsia"/>
          <w:color w:val="000000"/>
          <w:spacing w:val="2"/>
          <w:sz w:val="28"/>
          <w:szCs w:val="28"/>
        </w:rPr>
      </w:pPr>
    </w:p>
    <w:p>
      <w:pPr>
        <w:pStyle w:val="2"/>
        <w:wordWrap w:val="0"/>
        <w:spacing w:line="540" w:lineRule="atLeast"/>
        <w:ind w:firstLine="640"/>
        <w:rPr>
          <w:rFonts w:asciiTheme="majorEastAsia" w:hAnsiTheme="majorEastAsia" w:eastAsiaTheme="majorEastAsia" w:cstheme="majorEastAsia"/>
          <w:color w:val="000000"/>
          <w:spacing w:val="2"/>
          <w:sz w:val="28"/>
          <w:szCs w:val="28"/>
        </w:rPr>
      </w:pPr>
    </w:p>
    <w:p>
      <w:pPr>
        <w:pStyle w:val="2"/>
        <w:wordWrap w:val="0"/>
        <w:spacing w:line="540" w:lineRule="atLeast"/>
        <w:ind w:firstLine="640"/>
        <w:rPr>
          <w:rFonts w:asciiTheme="majorEastAsia" w:hAnsiTheme="majorEastAsia" w:eastAsiaTheme="majorEastAsia" w:cstheme="majorEastAsia"/>
          <w:color w:val="000000"/>
          <w:spacing w:val="2"/>
          <w:sz w:val="28"/>
          <w:szCs w:val="28"/>
        </w:rPr>
      </w:pPr>
    </w:p>
    <w:p>
      <w:pPr>
        <w:pStyle w:val="2"/>
        <w:wordWrap w:val="0"/>
        <w:spacing w:line="540" w:lineRule="atLeast"/>
        <w:ind w:firstLine="5117" w:firstLineChars="1802"/>
        <w:rPr>
          <w:rFonts w:asciiTheme="majorEastAsia" w:hAnsiTheme="majorEastAsia" w:eastAsiaTheme="majorEastAsia" w:cstheme="majorEastAsia"/>
          <w:color w:val="000000"/>
          <w:spacing w:val="2"/>
          <w:sz w:val="28"/>
          <w:szCs w:val="28"/>
        </w:rPr>
      </w:pPr>
      <w:r>
        <w:rPr>
          <w:rFonts w:hint="eastAsia" w:asciiTheme="majorEastAsia" w:hAnsiTheme="majorEastAsia" w:eastAsiaTheme="majorEastAsia" w:cstheme="majorEastAsia"/>
          <w:color w:val="000000"/>
          <w:spacing w:val="2"/>
          <w:sz w:val="28"/>
          <w:szCs w:val="28"/>
        </w:rPr>
        <w:t>数学与统计学院</w:t>
      </w:r>
    </w:p>
    <w:p>
      <w:pPr>
        <w:pStyle w:val="2"/>
        <w:wordWrap w:val="0"/>
        <w:spacing w:line="540" w:lineRule="atLeast"/>
        <w:ind w:firstLine="5112" w:firstLineChars="1800"/>
        <w:rPr>
          <w:rFonts w:asciiTheme="majorEastAsia" w:hAnsiTheme="majorEastAsia" w:eastAsiaTheme="majorEastAsia" w:cstheme="majorEastAsia"/>
          <w:color w:val="000000"/>
          <w:spacing w:val="2"/>
          <w:sz w:val="28"/>
          <w:szCs w:val="28"/>
        </w:rPr>
      </w:pPr>
      <w:r>
        <w:rPr>
          <w:rFonts w:hint="eastAsia" w:asciiTheme="majorEastAsia" w:hAnsiTheme="majorEastAsia" w:eastAsiaTheme="majorEastAsia" w:cstheme="majorEastAsia"/>
          <w:color w:val="000000"/>
          <w:spacing w:val="2"/>
          <w:sz w:val="28"/>
          <w:szCs w:val="28"/>
        </w:rPr>
        <w:t>2019年</w:t>
      </w:r>
      <w:r>
        <w:rPr>
          <w:rFonts w:hint="eastAsia" w:asciiTheme="majorEastAsia" w:hAnsiTheme="majorEastAsia" w:eastAsiaTheme="majorEastAsia" w:cstheme="majorEastAsia"/>
          <w:color w:val="000000"/>
          <w:spacing w:val="2"/>
          <w:sz w:val="28"/>
          <w:szCs w:val="28"/>
          <w:lang w:val="en-US" w:eastAsia="zh-CN"/>
        </w:rPr>
        <w:t>4</w:t>
      </w:r>
      <w:r>
        <w:rPr>
          <w:rFonts w:hint="eastAsia" w:asciiTheme="majorEastAsia" w:hAnsiTheme="majorEastAsia" w:eastAsiaTheme="majorEastAsia" w:cstheme="majorEastAsia"/>
          <w:color w:val="000000"/>
          <w:spacing w:val="2"/>
          <w:sz w:val="28"/>
          <w:szCs w:val="28"/>
        </w:rPr>
        <w:t>月</w:t>
      </w:r>
      <w:r>
        <w:rPr>
          <w:rFonts w:hint="eastAsia" w:asciiTheme="majorEastAsia" w:hAnsiTheme="majorEastAsia" w:eastAsiaTheme="majorEastAsia" w:cstheme="majorEastAsia"/>
          <w:color w:val="000000"/>
          <w:spacing w:val="2"/>
          <w:sz w:val="28"/>
          <w:szCs w:val="28"/>
          <w:lang w:val="en-US" w:eastAsia="zh-CN"/>
        </w:rPr>
        <w:t>11</w:t>
      </w:r>
      <w:bookmarkStart w:id="0" w:name="_GoBack"/>
      <w:bookmarkEnd w:id="0"/>
      <w:r>
        <w:rPr>
          <w:rFonts w:hint="eastAsia" w:asciiTheme="majorEastAsia" w:hAnsiTheme="majorEastAsia" w:eastAsiaTheme="majorEastAsia" w:cstheme="majorEastAsia"/>
          <w:color w:val="000000"/>
          <w:spacing w:val="2"/>
          <w:sz w:val="28"/>
          <w:szCs w:val="28"/>
        </w:rPr>
        <w:t>日</w:t>
      </w:r>
    </w:p>
    <w:p>
      <w:pPr>
        <w:ind w:firstLine="560" w:firstLineChars="200"/>
        <w:rPr>
          <w:rFonts w:asciiTheme="majorEastAsia" w:hAnsiTheme="majorEastAsia" w:eastAsiaTheme="majorEastAsia" w:cstheme="majorEastAsia"/>
          <w:color w:val="000000"/>
          <w:sz w:val="28"/>
          <w:szCs w:val="28"/>
        </w:rPr>
      </w:pPr>
    </w:p>
    <w:p>
      <w:pPr>
        <w:pStyle w:val="2"/>
        <w:spacing w:line="540" w:lineRule="atLeast"/>
        <w:jc w:val="both"/>
        <w:rPr>
          <w:rFonts w:asciiTheme="majorEastAsia" w:hAnsiTheme="majorEastAsia" w:eastAsiaTheme="majorEastAsia" w:cstheme="majorEastAsia"/>
          <w:b/>
          <w:bCs/>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7D47DD"/>
    <w:multiLevelType w:val="singleLevel"/>
    <w:tmpl w:val="FF7D47DD"/>
    <w:lvl w:ilvl="0" w:tentative="0">
      <w:start w:val="2"/>
      <w:numFmt w:val="chineseCounting"/>
      <w:suff w:val="nothing"/>
      <w:lvlText w:val="%1、"/>
      <w:lvlJc w:val="left"/>
      <w:rPr>
        <w:rFonts w:hint="eastAsia"/>
      </w:rPr>
    </w:lvl>
  </w:abstractNum>
  <w:abstractNum w:abstractNumId="1">
    <w:nsid w:val="5A3532DD"/>
    <w:multiLevelType w:val="singleLevel"/>
    <w:tmpl w:val="5A3532DD"/>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DC18AA"/>
    <w:rsid w:val="002E46C4"/>
    <w:rsid w:val="00833223"/>
    <w:rsid w:val="06766EAE"/>
    <w:rsid w:val="129E19F9"/>
    <w:rsid w:val="13C268C1"/>
    <w:rsid w:val="149E07A7"/>
    <w:rsid w:val="1ADC18AA"/>
    <w:rsid w:val="1B956142"/>
    <w:rsid w:val="202A26E5"/>
    <w:rsid w:val="30EB4E3A"/>
    <w:rsid w:val="516216E1"/>
    <w:rsid w:val="5D8F4A56"/>
    <w:rsid w:val="61AB70CF"/>
    <w:rsid w:val="6B043B6A"/>
    <w:rsid w:val="6DC5137A"/>
    <w:rsid w:val="79F14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uiPriority w:val="0"/>
    <w:pPr>
      <w:widowControl/>
      <w:jc w:val="left"/>
    </w:pPr>
    <w:rPr>
      <w:rFonts w:ascii="宋体" w:hAnsi="宋体" w:cs="宋体"/>
      <w:kern w:val="0"/>
      <w:sz w:val="24"/>
    </w:rPr>
  </w:style>
  <w:style w:type="character" w:customStyle="1" w:styleId="5">
    <w:name w:val="15"/>
    <w:basedOn w:val="3"/>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长春工业大学</Company>
  <Pages>6</Pages>
  <Words>374</Words>
  <Characters>2134</Characters>
  <Lines>17</Lines>
  <Paragraphs>5</Paragraphs>
  <TotalTime>5</TotalTime>
  <ScaleCrop>false</ScaleCrop>
  <LinksUpToDate>false</LinksUpToDate>
  <CharactersWithSpaces>2503</CharactersWithSpaces>
  <Application>WPS Office_10.1.0.7565_F1E327BC-269C-435d-A152-05C5408002CA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2019-03-22T00:31:00Z</dcterms:created>
  <dc:creator>hp</dc:creator>
  <cp:lastModifiedBy>hp</cp:lastModifiedBy>
  <cp:lastPrinted>2019-03-22T06:17:00Z</cp:lastPrinted>
  <dcterms:modified xsi:type="dcterms:W3CDTF">2019-04-11T08:54:07Z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