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auto"/>
        <w:jc w:val="center"/>
        <w:rPr>
          <w:rFonts w:hint="eastAsia" w:ascii="楷体_GB2312" w:hAnsi="楷体_GB2312" w:eastAsia="楷体_GB2312" w:cs="宋体"/>
          <w:sz w:val="28"/>
          <w:szCs w:val="24"/>
        </w:rPr>
      </w:pPr>
      <w:r>
        <w:rPr>
          <w:rFonts w:hint="eastAsia" w:ascii="楷体_GB2312" w:hAnsi="楷体_GB2312" w:eastAsia="楷体_GB2312" w:cs="宋体"/>
          <w:sz w:val="28"/>
          <w:szCs w:val="24"/>
        </w:rPr>
        <w:t>809（民法学、经济法学、刑法学）</w:t>
      </w:r>
    </w:p>
    <w:p>
      <w:pPr>
        <w:widowControl/>
        <w:snapToGrid w:val="0"/>
        <w:spacing w:line="360" w:lineRule="auto"/>
        <w:jc w:val="center"/>
        <w:rPr>
          <w:rFonts w:hint="eastAsia" w:ascii="楷体_GB2312" w:hAnsi="宋体" w:eastAsia="楷体_GB2312" w:cs="宋体"/>
          <w:b/>
          <w:sz w:val="36"/>
        </w:rPr>
      </w:pPr>
      <w:r>
        <w:rPr>
          <w:rFonts w:hint="eastAsia" w:ascii="楷体_GB2312" w:hAnsi="宋体" w:eastAsia="楷体_GB2312" w:cs="宋体"/>
          <w:b/>
          <w:sz w:val="36"/>
        </w:rPr>
        <w:t>《</w:t>
      </w:r>
      <w:r>
        <w:rPr>
          <w:rFonts w:hint="eastAsia" w:ascii="楷体_GB2312" w:eastAsia="楷体_GB2312"/>
          <w:b/>
          <w:sz w:val="36"/>
          <w:szCs w:val="36"/>
        </w:rPr>
        <w:t>民法学》科目考试大纲（50分）</w:t>
      </w:r>
    </w:p>
    <w:p>
      <w:pPr>
        <w:widowControl/>
        <w:snapToGrid w:val="0"/>
        <w:spacing w:beforeLines="50" w:line="360" w:lineRule="auto"/>
        <w:ind w:firstLine="643" w:firstLineChars="200"/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一、</w:t>
      </w:r>
      <w:r>
        <w:rPr>
          <w:rFonts w:hint="eastAsia" w:ascii="楷体_GB2312" w:eastAsia="楷体_GB2312"/>
          <w:b/>
          <w:bCs/>
          <w:sz w:val="32"/>
          <w:szCs w:val="32"/>
        </w:rPr>
        <w:t>涵盖范围及基本内容</w:t>
      </w:r>
    </w:p>
    <w:p>
      <w:pPr>
        <w:widowControl/>
        <w:snapToGrid w:val="0"/>
        <w:spacing w:before="12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 xml:space="preserve">  </w:t>
      </w:r>
      <w:r>
        <w:rPr>
          <w:rFonts w:hint="eastAsia" w:ascii="楷体_GB2312" w:eastAsia="楷体_GB2312"/>
          <w:bCs/>
          <w:sz w:val="28"/>
          <w:szCs w:val="28"/>
        </w:rPr>
        <w:t xml:space="preserve"> （一）民法总论</w:t>
      </w:r>
    </w:p>
    <w:p>
      <w:pPr>
        <w:widowControl/>
        <w:snapToGrid w:val="0"/>
        <w:spacing w:before="24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 xml:space="preserve">    民法基础原理；民法基本原则；民事法律关系及其三要素；民事主体制度；民事权利；民事权利客体；民事（法律）行为；代理；民事责任；诉讼时效</w:t>
      </w:r>
    </w:p>
    <w:p>
      <w:pPr>
        <w:widowControl/>
        <w:snapToGrid w:val="0"/>
        <w:spacing w:before="240"/>
        <w:ind w:firstLine="411" w:firstLineChars="147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（二）物权法</w:t>
      </w:r>
    </w:p>
    <w:p>
      <w:pPr>
        <w:widowControl/>
        <w:snapToGrid w:val="0"/>
        <w:spacing w:before="12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 xml:space="preserve">    物权及物权法基础原理；物权法基本原则；物权变动；所有权；用益物权；担保物权；占有</w:t>
      </w:r>
    </w:p>
    <w:p>
      <w:pPr>
        <w:widowControl/>
        <w:snapToGrid w:val="0"/>
        <w:spacing w:before="240"/>
        <w:ind w:firstLine="408" w:firstLineChars="146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（三）债法总论</w:t>
      </w:r>
    </w:p>
    <w:p>
      <w:pPr>
        <w:widowControl/>
        <w:snapToGrid w:val="0"/>
        <w:spacing w:before="12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 xml:space="preserve">    债及债法基础原理；债的发生；债的履行；债的保全和担保；债的移转和消灭</w:t>
      </w:r>
    </w:p>
    <w:p>
      <w:pPr>
        <w:widowControl/>
        <w:snapToGrid w:val="0"/>
        <w:spacing w:before="240"/>
        <w:ind w:firstLine="411" w:firstLineChars="147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（四）合同法</w:t>
      </w:r>
    </w:p>
    <w:p>
      <w:pPr>
        <w:widowControl/>
        <w:snapToGrid w:val="0"/>
        <w:spacing w:before="120"/>
        <w:ind w:firstLine="560" w:firstLineChars="20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合同及合同法基础原理；合同的订立；成立与生效；合同的效力；合同的变更和解除；违约责任；十五类有名合同</w:t>
      </w:r>
    </w:p>
    <w:p>
      <w:pPr>
        <w:widowControl/>
        <w:snapToGrid w:val="0"/>
        <w:spacing w:before="240"/>
        <w:ind w:firstLine="408" w:firstLineChars="146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（五）侵权责任法</w:t>
      </w:r>
    </w:p>
    <w:p>
      <w:pPr>
        <w:widowControl/>
        <w:snapToGrid w:val="0"/>
        <w:spacing w:before="120"/>
        <w:ind w:firstLine="560" w:firstLineChars="200"/>
        <w:outlineLvl w:val="0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侵权责任法基础原理；侵权责任的归责原则；侵权责任的成立要件；数人侵权责任；侵权责任的承担；侵权责任的免责事由；责任主体的特殊规定；产品责任；机动车交通事故责任；医疗损害责任；环境污染责任；高度危险责任；饲养动物损害责任；物件损害责任</w:t>
      </w:r>
    </w:p>
    <w:p>
      <w:pPr>
        <w:widowControl/>
        <w:snapToGrid w:val="0"/>
        <w:spacing w:before="240" w:line="360" w:lineRule="auto"/>
        <w:ind w:firstLine="482" w:firstLineChars="150"/>
        <w:outlineLvl w:val="0"/>
        <w:rPr>
          <w:rFonts w:ascii="楷体_GB2312" w:hAnsi="宋体" w:eastAsia="楷体_GB2312" w:cs="宋体"/>
          <w:b/>
          <w:sz w:val="32"/>
        </w:rPr>
      </w:pPr>
      <w:r>
        <w:rPr>
          <w:rFonts w:hint="eastAsia" w:ascii="楷体_GB2312" w:hAnsi="宋体" w:eastAsia="楷体_GB2312" w:cs="宋体"/>
          <w:b/>
          <w:sz w:val="32"/>
        </w:rPr>
        <w:t>二、主要参考教材</w:t>
      </w:r>
    </w:p>
    <w:p>
      <w:pPr>
        <w:widowControl/>
        <w:snapToGrid w:val="0"/>
        <w:ind w:firstLine="411" w:firstLineChars="147"/>
        <w:outlineLvl w:val="0"/>
        <w:rPr>
          <w:rFonts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1.王利明主编：《民法》（第</w:t>
      </w:r>
      <w:r>
        <w:rPr>
          <w:rFonts w:hint="eastAsia" w:ascii="Calibri" w:hAnsi="Calibri" w:eastAsia="楷体_GB2312" w:cs="宋体"/>
          <w:sz w:val="28"/>
          <w:szCs w:val="28"/>
        </w:rPr>
        <w:t>六</w:t>
      </w:r>
      <w:r>
        <w:rPr>
          <w:rFonts w:hint="eastAsia" w:ascii="楷体_GB2312" w:hAnsi="宋体" w:eastAsia="楷体_GB2312" w:cs="宋体"/>
          <w:sz w:val="28"/>
          <w:szCs w:val="28"/>
        </w:rPr>
        <w:t>版）中国人民大学出版社2015年版。</w:t>
      </w:r>
    </w:p>
    <w:p>
      <w:pPr>
        <w:widowControl/>
        <w:snapToGrid w:val="0"/>
        <w:ind w:firstLine="411" w:firstLineChars="147"/>
        <w:outlineLvl w:val="0"/>
        <w:rPr>
          <w:rFonts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2.江平主编：《民法学》（第三版）中国政法大学出版社2016年版。</w:t>
      </w:r>
    </w:p>
    <w:p>
      <w:pPr>
        <w:widowControl/>
        <w:snapToGrid w:val="0"/>
        <w:ind w:firstLine="411" w:firstLineChars="147"/>
        <w:outlineLvl w:val="0"/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3.杨立新著：《民法总则》（第二版)，法律出版社2017年版。</w:t>
      </w:r>
    </w:p>
    <w:p>
      <w:pPr>
        <w:widowControl/>
        <w:snapToGrid w:val="0"/>
        <w:spacing w:before="240"/>
        <w:ind w:firstLine="411" w:firstLineChars="147"/>
        <w:outlineLvl w:val="0"/>
        <w:rPr>
          <w:rFonts w:ascii="楷体_GB2312" w:hAnsi="宋体" w:eastAsia="楷体_GB2312" w:cs="宋体"/>
          <w:kern w:val="0"/>
          <w:sz w:val="24"/>
          <w:szCs w:val="24"/>
        </w:rPr>
      </w:pPr>
      <w:r>
        <w:rPr>
          <w:rFonts w:hint="eastAsia" w:ascii="楷体_GB2312" w:hAnsi="宋体" w:eastAsia="楷体_GB2312" w:cs="宋体"/>
          <w:sz w:val="28"/>
          <w:szCs w:val="28"/>
        </w:rPr>
        <w:t>特别说明：以上参考教材其内容与2017年3月15日通过，2017年10月1日起施行的《中华人民共和国民法总则》规定存在不一致的，以《中华人民共和国民法总则》的规定为准。</w:t>
      </w:r>
    </w:p>
    <w:p>
      <w:pPr>
        <w:spacing w:line="360" w:lineRule="auto"/>
        <w:rPr>
          <w:rFonts w:ascii="楷体_GB2312" w:hAnsi="宋体" w:eastAsia="楷体_GB2312"/>
          <w:sz w:val="28"/>
          <w:szCs w:val="28"/>
        </w:rPr>
      </w:pPr>
    </w:p>
    <w:p>
      <w:pPr>
        <w:widowControl/>
        <w:snapToGrid w:val="0"/>
        <w:spacing w:line="360" w:lineRule="auto"/>
        <w:jc w:val="center"/>
        <w:rPr>
          <w:rFonts w:ascii="楷体_GB2312" w:hAnsi="宋体" w:eastAsia="楷体_GB2312" w:cs="宋体"/>
          <w:b/>
          <w:sz w:val="36"/>
        </w:rPr>
      </w:pPr>
      <w:r>
        <w:rPr>
          <w:rFonts w:hint="eastAsia" w:ascii="楷体_GB2312" w:hAnsi="宋体" w:eastAsia="楷体_GB2312" w:cs="宋体"/>
          <w:b/>
          <w:sz w:val="36"/>
        </w:rPr>
        <w:t>《</w:t>
      </w:r>
      <w:r>
        <w:rPr>
          <w:rFonts w:hint="eastAsia" w:ascii="楷体_GB2312" w:eastAsia="楷体_GB2312"/>
          <w:b/>
          <w:sz w:val="36"/>
          <w:szCs w:val="36"/>
        </w:rPr>
        <w:t>刑法学》（50分）科目考试大纲</w:t>
      </w:r>
    </w:p>
    <w:p>
      <w:pPr>
        <w:widowControl/>
        <w:snapToGrid w:val="0"/>
        <w:spacing w:before="240"/>
        <w:ind w:firstLine="562" w:firstLineChars="200"/>
        <w:outlineLvl w:val="0"/>
        <w:rPr>
          <w:rFonts w:hint="eastAsia" w:ascii="楷体_GB2312" w:eastAsia="楷体_GB2312"/>
          <w:b/>
          <w:bCs/>
          <w:sz w:val="28"/>
          <w:szCs w:val="28"/>
        </w:rPr>
      </w:pPr>
      <w:r>
        <w:rPr>
          <w:rFonts w:hint="eastAsia" w:ascii="楷体_GB2312" w:hAnsi="宋体" w:eastAsia="楷体_GB2312" w:cs="宋体"/>
          <w:b/>
          <w:kern w:val="0"/>
          <w:sz w:val="28"/>
          <w:szCs w:val="28"/>
        </w:rPr>
        <w:t>一、</w:t>
      </w:r>
      <w:r>
        <w:rPr>
          <w:rFonts w:hint="eastAsia" w:ascii="楷体_GB2312" w:eastAsia="楷体_GB2312"/>
          <w:b/>
          <w:bCs/>
          <w:sz w:val="28"/>
          <w:szCs w:val="28"/>
        </w:rPr>
        <w:t>涵盖范围及基本内容</w:t>
      </w:r>
    </w:p>
    <w:p>
      <w:pPr>
        <w:widowControl/>
        <w:snapToGrid w:val="0"/>
        <w:spacing w:before="240"/>
        <w:outlineLvl w:val="0"/>
        <w:rPr>
          <w:rFonts w:hint="eastAsia"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 xml:space="preserve">  </w:t>
      </w:r>
      <w:r>
        <w:rPr>
          <w:rFonts w:hint="eastAsia" w:ascii="楷体_GB2312" w:eastAsia="楷体_GB2312"/>
          <w:bCs/>
          <w:sz w:val="28"/>
          <w:szCs w:val="28"/>
        </w:rPr>
        <w:t xml:space="preserve"> （一）刑法基础理论</w:t>
      </w:r>
    </w:p>
    <w:p>
      <w:pPr>
        <w:widowControl/>
        <w:snapToGrid w:val="0"/>
        <w:spacing w:before="240"/>
        <w:outlineLvl w:val="0"/>
        <w:rPr>
          <w:rFonts w:hint="eastAsia"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 xml:space="preserve">    刑法概念；刑法的基本原则；刑法的效力；刑法解释技巧和理由</w:t>
      </w:r>
    </w:p>
    <w:p>
      <w:pPr>
        <w:widowControl/>
        <w:snapToGrid w:val="0"/>
        <w:spacing w:before="240"/>
        <w:ind w:firstLine="411" w:firstLineChars="147"/>
        <w:outlineLvl w:val="0"/>
        <w:rPr>
          <w:rFonts w:hint="eastAsia"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（二）犯罪论</w:t>
      </w:r>
    </w:p>
    <w:p>
      <w:pPr>
        <w:widowControl/>
        <w:snapToGrid w:val="0"/>
        <w:spacing w:before="240"/>
        <w:outlineLvl w:val="0"/>
        <w:rPr>
          <w:rFonts w:hint="eastAsia"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 xml:space="preserve">   犯罪的概说；犯罪构成要件理论；违法构成要件；违法阻却事由；责任要件；责任阻却事由；犯罪的特殊形态；共同犯罪；罪数</w:t>
      </w:r>
    </w:p>
    <w:p>
      <w:pPr>
        <w:widowControl/>
        <w:snapToGrid w:val="0"/>
        <w:spacing w:before="240"/>
        <w:ind w:firstLine="408" w:firstLineChars="146"/>
        <w:outlineLvl w:val="0"/>
        <w:rPr>
          <w:rFonts w:hint="eastAsia"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（三）刑罚论</w:t>
      </w:r>
    </w:p>
    <w:p>
      <w:pPr>
        <w:widowControl/>
        <w:snapToGrid w:val="0"/>
        <w:spacing w:before="240"/>
        <w:ind w:firstLine="408" w:firstLineChars="146"/>
        <w:outlineLvl w:val="0"/>
        <w:rPr>
          <w:rFonts w:hint="eastAsia"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 xml:space="preserve">刑罚观念；刑罚体系；刑罚裁量；刑罚的执行；非刑罚的法律后果；法律后果的消灭   </w:t>
      </w:r>
    </w:p>
    <w:p>
      <w:pPr>
        <w:widowControl/>
        <w:snapToGrid w:val="0"/>
        <w:spacing w:before="240"/>
        <w:ind w:firstLine="411" w:firstLineChars="147"/>
        <w:outlineLvl w:val="0"/>
        <w:rPr>
          <w:rFonts w:hint="eastAsia"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（四）刑法分论</w:t>
      </w:r>
    </w:p>
    <w:p>
      <w:pPr>
        <w:widowControl/>
        <w:snapToGrid w:val="0"/>
        <w:spacing w:before="240"/>
        <w:ind w:firstLine="411" w:firstLineChars="147"/>
        <w:outlineLvl w:val="0"/>
        <w:rPr>
          <w:rFonts w:hint="eastAsia"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危害国家安全罪；危害公共安全罪；侵犯公民人身权利罪；破坏社会主义市场经济秩序罪；侵犯财产罪；妨害社会管理秩序罪；贪污贿赂罪；渎职罪</w:t>
      </w:r>
    </w:p>
    <w:p>
      <w:pPr>
        <w:widowControl/>
        <w:snapToGrid w:val="0"/>
        <w:spacing w:before="240" w:line="360" w:lineRule="auto"/>
        <w:ind w:firstLine="643" w:firstLineChars="200"/>
        <w:outlineLvl w:val="0"/>
        <w:rPr>
          <w:rFonts w:hint="eastAsia" w:ascii="楷体_GB2312" w:hAnsi="宋体" w:eastAsia="楷体_GB2312" w:cs="宋体"/>
          <w:b/>
          <w:sz w:val="32"/>
        </w:rPr>
      </w:pPr>
      <w:r>
        <w:rPr>
          <w:rFonts w:hint="eastAsia" w:ascii="楷体_GB2312" w:hAnsi="宋体" w:eastAsia="楷体_GB2312" w:cs="宋体"/>
          <w:b/>
          <w:sz w:val="32"/>
        </w:rPr>
        <w:t>二、主要参考教材</w:t>
      </w:r>
    </w:p>
    <w:p>
      <w:pPr>
        <w:widowControl/>
        <w:snapToGrid w:val="0"/>
        <w:spacing w:before="240"/>
        <w:ind w:firstLine="411" w:firstLineChars="147"/>
        <w:outlineLvl w:val="0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1.张明楷：《刑法学》（上、下册）（第五版），法律出版社2016年版。</w:t>
      </w:r>
    </w:p>
    <w:p>
      <w:pPr>
        <w:widowControl/>
        <w:snapToGrid w:val="0"/>
        <w:spacing w:before="240"/>
        <w:ind w:firstLine="411" w:firstLineChars="147"/>
        <w:outlineLvl w:val="0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2.黎宏：《刑法学》（第二版），法律出版社2016年版。</w:t>
      </w:r>
    </w:p>
    <w:p>
      <w:pPr>
        <w:widowControl/>
        <w:snapToGrid w:val="0"/>
        <w:spacing w:before="240"/>
        <w:ind w:firstLine="411" w:firstLineChars="147"/>
        <w:outlineLvl w:val="0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3.</w:t>
      </w:r>
      <w:r>
        <w:rPr>
          <w:rFonts w:hint="eastAsia" w:ascii="楷体_GB2312" w:hAnsi="宋体" w:eastAsia="楷体_GB2312" w:cs="宋体"/>
          <w:sz w:val="28"/>
          <w:szCs w:val="28"/>
          <w:lang w:val="en-US" w:eastAsia="zh-CN"/>
        </w:rPr>
        <w:t>黄明儒</w:t>
      </w:r>
      <w:r>
        <w:rPr>
          <w:rFonts w:hint="eastAsia" w:ascii="楷体_GB2312" w:hAnsi="宋体" w:eastAsia="楷体_GB2312" w:cs="宋体"/>
          <w:sz w:val="28"/>
          <w:szCs w:val="28"/>
        </w:rPr>
        <w:t>：《刑法总论》</w:t>
      </w:r>
      <w:r>
        <w:rPr>
          <w:rFonts w:hint="eastAsia" w:ascii="楷体_GB2312" w:hAnsi="宋体" w:eastAsia="楷体_GB2312" w:cs="宋体"/>
          <w:sz w:val="28"/>
          <w:szCs w:val="28"/>
          <w:lang w:eastAsia="zh-CN"/>
        </w:rPr>
        <w:t>，</w:t>
      </w:r>
      <w:r>
        <w:rPr>
          <w:rFonts w:hint="eastAsia" w:ascii="楷体_GB2312" w:hAnsi="宋体" w:eastAsia="楷体_GB2312" w:cs="宋体"/>
          <w:sz w:val="28"/>
          <w:szCs w:val="28"/>
          <w:lang w:val="en-US" w:eastAsia="zh-CN"/>
        </w:rPr>
        <w:t>北京</w:t>
      </w:r>
      <w:r>
        <w:rPr>
          <w:rFonts w:hint="eastAsia" w:ascii="楷体_GB2312" w:hAnsi="宋体" w:eastAsia="楷体_GB2312" w:cs="宋体"/>
          <w:sz w:val="28"/>
          <w:szCs w:val="28"/>
        </w:rPr>
        <w:t>大学出版社</w:t>
      </w:r>
      <w:r>
        <w:rPr>
          <w:rFonts w:hint="eastAsia" w:ascii="楷体_GB2312" w:hAnsi="宋体" w:eastAsia="楷体_GB2312" w:cs="宋体"/>
          <w:sz w:val="28"/>
          <w:szCs w:val="28"/>
          <w:lang w:val="en-US" w:eastAsia="zh-CN"/>
        </w:rPr>
        <w:t>2014年</w:t>
      </w:r>
      <w:bookmarkStart w:id="0" w:name="_GoBack"/>
      <w:bookmarkEnd w:id="0"/>
      <w:r>
        <w:rPr>
          <w:rFonts w:hint="eastAsia" w:ascii="楷体_GB2312" w:hAnsi="宋体" w:eastAsia="楷体_GB2312" w:cs="宋体"/>
          <w:sz w:val="28"/>
          <w:szCs w:val="28"/>
          <w:lang w:val="en-US" w:eastAsia="zh-CN"/>
        </w:rPr>
        <w:t>版</w:t>
      </w:r>
      <w:r>
        <w:rPr>
          <w:rFonts w:hint="eastAsia" w:ascii="楷体_GB2312" w:hAnsi="宋体" w:eastAsia="楷体_GB2312" w:cs="宋体"/>
          <w:sz w:val="28"/>
          <w:szCs w:val="28"/>
        </w:rPr>
        <w:t>。</w:t>
      </w:r>
    </w:p>
    <w:p>
      <w:pPr>
        <w:rPr>
          <w:rFonts w:hint="eastAsia" w:ascii="楷体_GB2312" w:hAnsi="宋体" w:eastAsia="楷体_GB2312"/>
          <w:sz w:val="28"/>
          <w:szCs w:val="28"/>
        </w:rPr>
      </w:pPr>
    </w:p>
    <w:p>
      <w:pPr>
        <w:spacing w:line="360" w:lineRule="auto"/>
        <w:rPr>
          <w:rFonts w:ascii="楷体_GB2312" w:hAnsi="宋体" w:eastAsia="楷体_GB2312"/>
          <w:sz w:val="28"/>
          <w:szCs w:val="28"/>
        </w:rPr>
      </w:pPr>
    </w:p>
    <w:p>
      <w:pPr>
        <w:widowControl/>
        <w:snapToGrid w:val="0"/>
        <w:spacing w:line="360" w:lineRule="auto"/>
        <w:jc w:val="center"/>
        <w:rPr>
          <w:rFonts w:hint="eastAsia" w:ascii="楷体_GB2312" w:hAnsi="宋体" w:eastAsia="楷体_GB2312" w:cs="宋体"/>
          <w:b/>
          <w:sz w:val="36"/>
        </w:rPr>
      </w:pPr>
      <w:r>
        <w:rPr>
          <w:rFonts w:hint="eastAsia" w:ascii="楷体_GB2312" w:hAnsi="宋体" w:eastAsia="楷体_GB2312" w:cs="宋体"/>
          <w:b/>
          <w:sz w:val="36"/>
        </w:rPr>
        <w:t>《</w:t>
      </w:r>
      <w:r>
        <w:rPr>
          <w:rFonts w:hint="eastAsia" w:ascii="楷体_GB2312" w:eastAsia="楷体_GB2312"/>
          <w:b/>
          <w:sz w:val="36"/>
          <w:szCs w:val="36"/>
        </w:rPr>
        <w:t>经济法学》科目考试大纲（50分）</w:t>
      </w:r>
    </w:p>
    <w:p>
      <w:pPr>
        <w:widowControl/>
        <w:snapToGrid w:val="0"/>
        <w:spacing w:line="360" w:lineRule="auto"/>
        <w:ind w:firstLine="562" w:firstLineChars="200"/>
        <w:outlineLvl w:val="0"/>
        <w:rPr>
          <w:rFonts w:hint="eastAsia" w:ascii="楷体_GB2312" w:eastAsia="楷体_GB2312"/>
          <w:b/>
          <w:bCs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一、涵盖范围及基本内容</w:t>
      </w:r>
    </w:p>
    <w:p>
      <w:pPr>
        <w:widowControl/>
        <w:snapToGrid w:val="0"/>
        <w:spacing w:line="360" w:lineRule="auto"/>
        <w:outlineLvl w:val="0"/>
        <w:rPr>
          <w:rFonts w:hint="eastAsia"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 xml:space="preserve">   （一）经济法总论</w:t>
      </w:r>
    </w:p>
    <w:p>
      <w:pPr>
        <w:widowControl/>
        <w:snapToGrid w:val="0"/>
        <w:spacing w:line="360" w:lineRule="auto"/>
        <w:ind w:firstLine="560" w:firstLineChars="200"/>
        <w:outlineLvl w:val="0"/>
        <w:rPr>
          <w:rFonts w:hint="eastAsia"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经济法学的研究对象；</w:t>
      </w:r>
      <w:r>
        <w:rPr>
          <w:rFonts w:ascii="楷体_GB2312" w:eastAsia="楷体_GB2312"/>
          <w:bCs/>
          <w:sz w:val="28"/>
          <w:szCs w:val="28"/>
        </w:rPr>
        <w:t>经济法学的产生</w:t>
      </w:r>
      <w:r>
        <w:rPr>
          <w:rFonts w:hint="eastAsia" w:ascii="楷体_GB2312" w:eastAsia="楷体_GB2312"/>
          <w:bCs/>
          <w:sz w:val="28"/>
          <w:szCs w:val="28"/>
        </w:rPr>
        <w:t>和发展；</w:t>
      </w:r>
      <w:r>
        <w:rPr>
          <w:rFonts w:ascii="楷体_GB2312" w:eastAsia="楷体_GB2312"/>
          <w:bCs/>
          <w:sz w:val="28"/>
          <w:szCs w:val="28"/>
        </w:rPr>
        <w:t>经济法的概念</w:t>
      </w:r>
      <w:r>
        <w:rPr>
          <w:rFonts w:hint="eastAsia" w:ascii="楷体_GB2312" w:eastAsia="楷体_GB2312"/>
          <w:bCs/>
          <w:sz w:val="28"/>
          <w:szCs w:val="28"/>
        </w:rPr>
        <w:t>；</w:t>
      </w:r>
      <w:r>
        <w:rPr>
          <w:rFonts w:ascii="楷体_GB2312" w:eastAsia="楷体_GB2312"/>
          <w:bCs/>
          <w:sz w:val="28"/>
          <w:szCs w:val="28"/>
        </w:rPr>
        <w:t>经济法的体系</w:t>
      </w:r>
      <w:r>
        <w:rPr>
          <w:rFonts w:hint="eastAsia" w:ascii="楷体_GB2312" w:eastAsia="楷体_GB2312"/>
          <w:bCs/>
          <w:sz w:val="28"/>
          <w:szCs w:val="28"/>
        </w:rPr>
        <w:t>；</w:t>
      </w:r>
      <w:r>
        <w:rPr>
          <w:rFonts w:ascii="楷体_GB2312" w:eastAsia="楷体_GB2312"/>
          <w:bCs/>
          <w:sz w:val="28"/>
          <w:szCs w:val="28"/>
        </w:rPr>
        <w:t>经济法的</w:t>
      </w:r>
      <w:r>
        <w:rPr>
          <w:rFonts w:hint="eastAsia" w:ascii="楷体_GB2312" w:eastAsia="楷体_GB2312"/>
          <w:bCs/>
          <w:sz w:val="28"/>
          <w:szCs w:val="28"/>
        </w:rPr>
        <w:t>基本</w:t>
      </w:r>
      <w:r>
        <w:rPr>
          <w:rFonts w:ascii="楷体_GB2312" w:eastAsia="楷体_GB2312"/>
          <w:bCs/>
          <w:sz w:val="28"/>
          <w:szCs w:val="28"/>
        </w:rPr>
        <w:t>原则</w:t>
      </w:r>
      <w:r>
        <w:rPr>
          <w:rFonts w:hint="eastAsia" w:ascii="楷体_GB2312" w:eastAsia="楷体_GB2312"/>
          <w:bCs/>
          <w:sz w:val="28"/>
          <w:szCs w:val="28"/>
        </w:rPr>
        <w:t>和宗旨；</w:t>
      </w:r>
      <w:r>
        <w:rPr>
          <w:rFonts w:ascii="楷体_GB2312" w:eastAsia="楷体_GB2312"/>
          <w:bCs/>
          <w:sz w:val="28"/>
          <w:szCs w:val="28"/>
        </w:rPr>
        <w:t>经济法主体</w:t>
      </w:r>
      <w:r>
        <w:rPr>
          <w:rFonts w:hint="eastAsia" w:ascii="楷体_GB2312" w:eastAsia="楷体_GB2312"/>
          <w:bCs/>
          <w:sz w:val="28"/>
          <w:szCs w:val="28"/>
        </w:rPr>
        <w:t>；经济法</w:t>
      </w:r>
      <w:r>
        <w:rPr>
          <w:rFonts w:ascii="楷体_GB2312" w:eastAsia="楷体_GB2312"/>
          <w:bCs/>
          <w:sz w:val="28"/>
          <w:szCs w:val="28"/>
        </w:rPr>
        <w:t>行为</w:t>
      </w:r>
      <w:r>
        <w:rPr>
          <w:rFonts w:hint="eastAsia" w:ascii="楷体_GB2312" w:eastAsia="楷体_GB2312"/>
          <w:bCs/>
          <w:sz w:val="28"/>
          <w:szCs w:val="28"/>
        </w:rPr>
        <w:t>；经济法的价值取向；经济法的基本功能；经济法律关系。</w:t>
      </w:r>
    </w:p>
    <w:p>
      <w:pPr>
        <w:widowControl/>
        <w:snapToGrid w:val="0"/>
        <w:spacing w:line="360" w:lineRule="auto"/>
        <w:ind w:firstLine="560" w:firstLineChars="200"/>
        <w:outlineLvl w:val="0"/>
        <w:rPr>
          <w:rFonts w:hint="eastAsia"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（二）宏观调控法律制度</w:t>
      </w:r>
    </w:p>
    <w:p>
      <w:pPr>
        <w:widowControl/>
        <w:snapToGrid w:val="0"/>
        <w:spacing w:line="360" w:lineRule="auto"/>
        <w:ind w:firstLine="560" w:firstLineChars="200"/>
        <w:outlineLvl w:val="0"/>
        <w:rPr>
          <w:rFonts w:hint="eastAsia"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 xml:space="preserve">宏观调控法概述；金融调控法律制度；价格调控法律制度；财税调控法律制度；计划调控法律制度；金融监管法律制度。  </w:t>
      </w:r>
    </w:p>
    <w:p>
      <w:pPr>
        <w:widowControl/>
        <w:snapToGrid w:val="0"/>
        <w:spacing w:line="360" w:lineRule="auto"/>
        <w:ind w:firstLine="560" w:firstLineChars="200"/>
        <w:outlineLvl w:val="0"/>
        <w:rPr>
          <w:rFonts w:hint="eastAsia"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（三）市场规制法律制度</w:t>
      </w:r>
    </w:p>
    <w:p>
      <w:pPr>
        <w:widowControl/>
        <w:snapToGrid w:val="0"/>
        <w:spacing w:line="360" w:lineRule="auto"/>
        <w:outlineLvl w:val="0"/>
        <w:rPr>
          <w:rFonts w:hint="eastAsia"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 xml:space="preserve">    市场规制法概论 ；产品的定义；产品质量；产品质量监督管理制度；产品质量责任；消费者；消费者权利；经营者义务；不正当竞争行为及其认定和责任；反垄断法；广告法。</w:t>
      </w:r>
    </w:p>
    <w:p>
      <w:pPr>
        <w:widowControl/>
        <w:snapToGrid w:val="0"/>
        <w:spacing w:line="360" w:lineRule="auto"/>
        <w:ind w:firstLine="422" w:firstLineChars="150"/>
        <w:outlineLvl w:val="0"/>
        <w:rPr>
          <w:rFonts w:hint="eastAsia" w:ascii="楷体_GB2312" w:eastAsia="楷体_GB2312"/>
          <w:b/>
          <w:bCs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二、参考教材</w:t>
      </w:r>
    </w:p>
    <w:p>
      <w:pPr>
        <w:widowControl/>
        <w:snapToGrid w:val="0"/>
        <w:spacing w:line="360" w:lineRule="auto"/>
        <w:ind w:firstLine="560" w:firstLineChars="200"/>
        <w:outlineLvl w:val="0"/>
        <w:rPr>
          <w:rFonts w:hint="eastAsia"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（一）经济法学编写组：《经济法学》，高等教育出版社2016年第一版。</w:t>
      </w:r>
    </w:p>
    <w:p>
      <w:pPr>
        <w:widowControl/>
        <w:snapToGrid w:val="0"/>
        <w:spacing w:line="360" w:lineRule="auto"/>
        <w:ind w:firstLine="560" w:firstLineChars="200"/>
        <w:outlineLvl w:val="0"/>
        <w:rPr>
          <w:rFonts w:hint="eastAsia" w:ascii="楷体_GB2312" w:eastAsia="楷体_GB2312"/>
          <w:bCs/>
          <w:sz w:val="28"/>
          <w:szCs w:val="28"/>
        </w:rPr>
      </w:pPr>
      <w:r>
        <w:rPr>
          <w:rFonts w:hint="eastAsia" w:ascii="楷体_GB2312" w:eastAsia="楷体_GB2312"/>
          <w:bCs/>
          <w:sz w:val="28"/>
          <w:szCs w:val="28"/>
        </w:rPr>
        <w:t>（二）李昌麒主编：《经济法学》，法律出版社2016年第三版。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3E2CE6"/>
    <w:rsid w:val="07C85D4A"/>
    <w:rsid w:val="0C3E2CE6"/>
    <w:rsid w:val="2A800131"/>
    <w:rsid w:val="59C757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2017-09-01T02:00:00Z</dcterms:created>
  <dc:creator>Administrator</dc:creator>
  <cp:lastModifiedBy>雨田雨林夕</cp:lastModifiedBy>
  <dcterms:modified xsi:type="dcterms:W3CDTF">2019-08-26T03:04:55Z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