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CF9" w:rsidRDefault="00760577" w:rsidP="00852DD5">
      <w:pPr>
        <w:snapToGrid w:val="0"/>
        <w:spacing w:line="360" w:lineRule="auto"/>
        <w:jc w:val="center"/>
        <w:rPr>
          <w:rFonts w:ascii="仿宋" w:eastAsia="仿宋" w:hAnsi="仿宋" w:cs="Times New Roman"/>
          <w:b/>
          <w:sz w:val="36"/>
          <w:szCs w:val="36"/>
        </w:rPr>
      </w:pPr>
      <w:r>
        <w:rPr>
          <w:rFonts w:ascii="仿宋" w:eastAsia="仿宋" w:hAnsi="仿宋" w:cs="Times New Roman" w:hint="eastAsia"/>
          <w:b/>
          <w:sz w:val="36"/>
          <w:szCs w:val="36"/>
        </w:rPr>
        <w:t>《经济学二》考试大纲</w:t>
      </w:r>
    </w:p>
    <w:p w:rsidR="00852DD5" w:rsidRDefault="00852DD5">
      <w:pPr>
        <w:snapToGrid w:val="0"/>
        <w:spacing w:line="360" w:lineRule="auto"/>
        <w:jc w:val="center"/>
        <w:rPr>
          <w:rFonts w:ascii="仿宋" w:eastAsia="仿宋" w:hAnsi="仿宋" w:cs="Times New Roman"/>
          <w:b/>
          <w:sz w:val="36"/>
          <w:szCs w:val="36"/>
        </w:rPr>
      </w:pPr>
      <w:r>
        <w:rPr>
          <w:rFonts w:ascii="仿宋" w:eastAsia="仿宋" w:hAnsi="仿宋" w:cs="Times New Roman" w:hint="eastAsia"/>
          <w:b/>
          <w:sz w:val="36"/>
          <w:szCs w:val="36"/>
        </w:rPr>
        <w:t>科目代码：802</w:t>
      </w:r>
    </w:p>
    <w:p w:rsidR="00EB4CF9" w:rsidRDefault="00760577" w:rsidP="00852DD5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一、考试性质</w:t>
      </w:r>
    </w:p>
    <w:p w:rsidR="00EB4CF9" w:rsidRDefault="00760577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《</w:t>
      </w:r>
      <w:r>
        <w:rPr>
          <w:rFonts w:ascii="仿宋" w:eastAsia="仿宋" w:hAnsi="仿宋" w:hint="eastAsia"/>
          <w:sz w:val="28"/>
          <w:szCs w:val="28"/>
        </w:rPr>
        <w:t>经济</w:t>
      </w:r>
      <w:r>
        <w:rPr>
          <w:rFonts w:ascii="仿宋" w:eastAsia="仿宋" w:hAnsi="仿宋"/>
          <w:sz w:val="28"/>
          <w:szCs w:val="28"/>
        </w:rPr>
        <w:t>学</w:t>
      </w:r>
      <w:r w:rsidR="00DC414D"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》是</w:t>
      </w:r>
      <w:r>
        <w:rPr>
          <w:rFonts w:ascii="仿宋" w:eastAsia="仿宋" w:hAnsi="仿宋" w:hint="eastAsia"/>
          <w:sz w:val="28"/>
          <w:szCs w:val="28"/>
        </w:rPr>
        <w:t>应用经济学各</w:t>
      </w:r>
      <w:r>
        <w:rPr>
          <w:rFonts w:ascii="仿宋" w:eastAsia="仿宋" w:hAnsi="仿宋"/>
          <w:sz w:val="28"/>
          <w:szCs w:val="28"/>
        </w:rPr>
        <w:t>专业</w:t>
      </w:r>
      <w:r>
        <w:rPr>
          <w:rFonts w:ascii="仿宋" w:eastAsia="仿宋" w:hAnsi="仿宋" w:hint="eastAsia"/>
          <w:sz w:val="28"/>
          <w:szCs w:val="28"/>
        </w:rPr>
        <w:t>及统计学专业硕士</w:t>
      </w:r>
      <w:r>
        <w:rPr>
          <w:rFonts w:ascii="仿宋" w:eastAsia="仿宋" w:hAnsi="仿宋"/>
          <w:sz w:val="28"/>
          <w:szCs w:val="28"/>
        </w:rPr>
        <w:t>研究生入学</w:t>
      </w:r>
      <w:r>
        <w:rPr>
          <w:rFonts w:ascii="仿宋" w:eastAsia="仿宋" w:hAnsi="仿宋" w:hint="eastAsia"/>
          <w:sz w:val="28"/>
          <w:szCs w:val="28"/>
        </w:rPr>
        <w:t>统一</w:t>
      </w:r>
      <w:r>
        <w:rPr>
          <w:rFonts w:ascii="仿宋" w:eastAsia="仿宋" w:hAnsi="仿宋"/>
          <w:sz w:val="28"/>
          <w:szCs w:val="28"/>
        </w:rPr>
        <w:t>考试的科目之一。《</w:t>
      </w:r>
      <w:r>
        <w:rPr>
          <w:rFonts w:ascii="仿宋" w:eastAsia="仿宋" w:hAnsi="仿宋" w:hint="eastAsia"/>
          <w:sz w:val="28"/>
          <w:szCs w:val="28"/>
        </w:rPr>
        <w:t>经济</w:t>
      </w:r>
      <w:r>
        <w:rPr>
          <w:rFonts w:ascii="仿宋" w:eastAsia="仿宋" w:hAnsi="仿宋"/>
          <w:sz w:val="28"/>
          <w:szCs w:val="28"/>
        </w:rPr>
        <w:t>学</w:t>
      </w:r>
      <w:r w:rsidR="00DC414D"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》</w:t>
      </w:r>
      <w:bookmarkStart w:id="0" w:name="_GoBack"/>
      <w:bookmarkEnd w:id="0"/>
      <w:r>
        <w:rPr>
          <w:rFonts w:ascii="仿宋" w:eastAsia="仿宋" w:hAnsi="仿宋"/>
          <w:sz w:val="28"/>
          <w:szCs w:val="28"/>
        </w:rPr>
        <w:t>考试</w:t>
      </w:r>
      <w:r>
        <w:rPr>
          <w:rFonts w:ascii="仿宋" w:eastAsia="仿宋" w:hAnsi="仿宋" w:hint="eastAsia"/>
          <w:sz w:val="28"/>
          <w:szCs w:val="28"/>
        </w:rPr>
        <w:t>要</w:t>
      </w:r>
      <w:r>
        <w:rPr>
          <w:rFonts w:ascii="仿宋" w:eastAsia="仿宋" w:hAnsi="仿宋"/>
          <w:sz w:val="28"/>
          <w:szCs w:val="28"/>
        </w:rPr>
        <w:t>力求反映</w:t>
      </w:r>
      <w:r>
        <w:rPr>
          <w:rFonts w:ascii="仿宋" w:eastAsia="仿宋" w:hAnsi="仿宋" w:hint="eastAsia"/>
          <w:sz w:val="28"/>
          <w:szCs w:val="28"/>
        </w:rPr>
        <w:t>应用经济学和统计学硕士</w:t>
      </w:r>
      <w:r>
        <w:rPr>
          <w:rFonts w:ascii="仿宋" w:eastAsia="仿宋" w:hAnsi="仿宋"/>
          <w:sz w:val="28"/>
          <w:szCs w:val="28"/>
        </w:rPr>
        <w:t>学位的特点，科学、公平、准确、规范地测评考生的基本素质和综合能力，以利用选拔具有发展潜力的优秀人才入学，为国家的经济建设培养具有良好职业道德、法制观念和国际视野、具有较强分析与解决实际问题能力的高层次、应用型、复合型的</w:t>
      </w:r>
      <w:r>
        <w:rPr>
          <w:rFonts w:ascii="仿宋" w:eastAsia="仿宋" w:hAnsi="仿宋" w:hint="eastAsia"/>
          <w:sz w:val="28"/>
          <w:szCs w:val="28"/>
        </w:rPr>
        <w:t>经济</w:t>
      </w:r>
      <w:r>
        <w:rPr>
          <w:rFonts w:ascii="仿宋" w:eastAsia="仿宋" w:hAnsi="仿宋"/>
          <w:sz w:val="28"/>
          <w:szCs w:val="28"/>
        </w:rPr>
        <w:t>专业人才。</w:t>
      </w:r>
    </w:p>
    <w:p w:rsidR="00EB4CF9" w:rsidRDefault="00760577" w:rsidP="00852DD5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二、考试要求</w:t>
      </w:r>
    </w:p>
    <w:p w:rsidR="00EB4CF9" w:rsidRDefault="00760577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试内容主要涵盖西方经济学一般理论：微观经济学和宏观经济学基本内容。目的是考察学生对相关经济学的基本概念、基本观点、基本原理和基本分析方法的理解，及运用理论分析实际问题的能力。要求学生具备较好的理论基础，较强的分析和解决问题的能力。</w:t>
      </w:r>
    </w:p>
    <w:p w:rsidR="00EB4CF9" w:rsidRDefault="00760577" w:rsidP="00852DD5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>
        <w:rPr>
          <w:rFonts w:ascii="仿宋" w:eastAsia="仿宋" w:hAnsi="仿宋"/>
          <w:sz w:val="28"/>
          <w:szCs w:val="28"/>
        </w:rPr>
        <w:t>、考试分值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本科目满分1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0分</w:t>
      </w:r>
      <w:r>
        <w:rPr>
          <w:rFonts w:ascii="仿宋" w:eastAsia="仿宋" w:hAnsi="仿宋" w:hint="eastAsia"/>
          <w:sz w:val="28"/>
          <w:szCs w:val="28"/>
        </w:rPr>
        <w:t>，微观经济学占75分，宏观经济学占75分。</w:t>
      </w:r>
    </w:p>
    <w:p w:rsidR="00EB4CF9" w:rsidRDefault="00760577" w:rsidP="00852DD5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四、试题结构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名词解释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简答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计算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论述</w:t>
      </w:r>
    </w:p>
    <w:p w:rsidR="00EB4CF9" w:rsidRDefault="00760577" w:rsidP="00852DD5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>
        <w:rPr>
          <w:rFonts w:ascii="仿宋" w:eastAsia="仿宋" w:hAnsi="仿宋"/>
          <w:sz w:val="28"/>
          <w:szCs w:val="28"/>
        </w:rPr>
        <w:t>、考试内容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（一）微观经济学部分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1.导　论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经济学的研究对象：需要的无限性和资源的稀缺性，生产可能性曲线与机会成本，选择、制度与资源配置，经济学学的研究对象与基本内容； 经济学的研究方法：经济学的基本假定，实证方法与规范方法。 微观经济学与宏观经济学及其关系。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2.需求、供给和均衡价格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关于需求的一般原理：需求函数，需求曲线与需求定理，需求量的变化与需求的变化，需求弹性；关于供给的一般原理：供给函数，供给曲线与供给定理，供给量变化与供给变化，供给弹性；均衡价格的形成，均衡价格的变动，供求定理，均衡价格模型的应用。最低限价与最高限价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3.消费者行为与需求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基数效用论与需求曲线的导出：基数效用论特征，效用函数，总效用与边际效用，消费者预算与消费者均衡，需求曲线的导出与消费者剩余；序数效用论与需求曲线：序数效用论特征，无差异曲线，预算线，消费者均衡，收入消费线与恩格尔曲线，价格消费线与消费者需求曲线，、替代效应与收入效应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4.生产者行为理论与供给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生产函数：技术系数，长期与短期；单一可变投入要素的生产函数：总产量、平均产量、边际产量，生产的三个阶段与生产的合理区域，边际生产力递减规律；两种可变投入要素的生产函数：等产量曲线，边际技术替代率，长期与规模收益；柯布—道格拉斯生产函数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成本函数：经济成本与经济利润，显性成本与隐性成本，成本方程与等成本线，产量最大化或成本最小的均衡条件，生产扩展线；短</w:t>
      </w:r>
      <w:r>
        <w:rPr>
          <w:rFonts w:ascii="仿宋" w:eastAsia="仿宋" w:hAnsi="仿宋" w:hint="eastAsia"/>
          <w:sz w:val="28"/>
          <w:szCs w:val="28"/>
        </w:rPr>
        <w:lastRenderedPageBreak/>
        <w:t>期成本函数分类，</w:t>
      </w:r>
      <w:proofErr w:type="gramStart"/>
      <w:r>
        <w:rPr>
          <w:rFonts w:ascii="仿宋" w:eastAsia="仿宋" w:hAnsi="仿宋" w:hint="eastAsia"/>
          <w:sz w:val="28"/>
          <w:szCs w:val="28"/>
        </w:rPr>
        <w:t>几种短期</w:t>
      </w:r>
      <w:proofErr w:type="gramEnd"/>
      <w:r>
        <w:rPr>
          <w:rFonts w:ascii="仿宋" w:eastAsia="仿宋" w:hAnsi="仿宋" w:hint="eastAsia"/>
          <w:sz w:val="28"/>
          <w:szCs w:val="28"/>
        </w:rPr>
        <w:t>成本曲线及其相互关系，短期成本曲线与短期生产函数的关系。厂商的长期成本函数及曲线，长期成本曲线与短期成本曲线的关系，长期成本曲线与长期生产函数关系，规模经济与规模不经济。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收益函数：总收益、平均收益与边际收益。厂商利润最大化一般条件。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5.完全竞争市场的价格与产量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完全竞争市场的特征，完全竞争厂商的需求曲线；完全竞争厂商的短期均衡与条件，收支相抵点和停止营业点，完全竞争厂商的、行业的短期供给曲线，生产者剩余；完全竞争厂商的长期均衡与条件，完全竞争条件下价格对资源配置的影响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6.不完全竞争市场的价格与产量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垄断与成因，垄断厂商的短期均衡与长期均衡，自然垄断，价格歧视，垄断造成的社会损失。 垄断竞争：产品差别，垄断竞争厂商的短期均衡，垄断竞争厂商的长期均衡； 寡头垄断：</w:t>
      </w:r>
      <w:proofErr w:type="gramStart"/>
      <w:r>
        <w:rPr>
          <w:rFonts w:ascii="仿宋" w:eastAsia="仿宋" w:hAnsi="仿宋" w:hint="eastAsia"/>
          <w:sz w:val="28"/>
          <w:szCs w:val="28"/>
        </w:rPr>
        <w:t>古诺双头</w:t>
      </w:r>
      <w:proofErr w:type="gramEnd"/>
      <w:r>
        <w:rPr>
          <w:rFonts w:ascii="仿宋" w:eastAsia="仿宋" w:hAnsi="仿宋" w:hint="eastAsia"/>
          <w:sz w:val="28"/>
          <w:szCs w:val="28"/>
        </w:rPr>
        <w:t>模型，折弯需求曲线模型；四种市场类型的效率比较。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7.生产要素价格决定与使用量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要素市场分析与分配论。厂商使用生产要素一般原则，引致需求，完全竞争厂商使用要素的原则，完全竞争厂商和市场对要素的需求曲线，卖方垄断市场厂商使用要素的原则与均衡条件、买方垄断市场厂商使用要素的原则与均衡条件。双重垄断市场厂商使用要素的原则与均衡条件。要素的供给原则，劳动的供给曲线，土地的供给曲线，资本的供给曲线。要素价格决定，租金、准租金和经济租金；</w:t>
      </w:r>
      <w:proofErr w:type="gramStart"/>
      <w:r>
        <w:rPr>
          <w:rFonts w:ascii="仿宋" w:eastAsia="仿宋" w:hAnsi="仿宋" w:hint="eastAsia"/>
          <w:sz w:val="28"/>
          <w:szCs w:val="28"/>
        </w:rPr>
        <w:t>洛</w:t>
      </w:r>
      <w:proofErr w:type="gramEnd"/>
      <w:r>
        <w:rPr>
          <w:rFonts w:ascii="仿宋" w:eastAsia="仿宋" w:hAnsi="仿宋" w:hint="eastAsia"/>
          <w:sz w:val="28"/>
          <w:szCs w:val="28"/>
        </w:rPr>
        <w:t>伦茨曲线与基尼系数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8.一般均衡论与福利经济学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局部均衡与一般均衡，消费或交换的均衡、消费契约线，生产的均衡、生产契约线，消费与生产的一般均衡；福利经济学的性质，帕累托最优与改进，效用可能性边界，社会福利函数、社会福利最大化。完全竞争符合</w:t>
      </w:r>
      <w:proofErr w:type="gramStart"/>
      <w:r>
        <w:rPr>
          <w:rFonts w:ascii="仿宋" w:eastAsia="仿宋" w:hAnsi="仿宋" w:hint="eastAsia"/>
          <w:sz w:val="28"/>
          <w:szCs w:val="28"/>
        </w:rPr>
        <w:t>帕雷托最优</w:t>
      </w:r>
      <w:proofErr w:type="gramEnd"/>
      <w:r>
        <w:rPr>
          <w:rFonts w:ascii="仿宋" w:eastAsia="仿宋" w:hAnsi="仿宋" w:hint="eastAsia"/>
          <w:sz w:val="28"/>
          <w:szCs w:val="28"/>
        </w:rPr>
        <w:t>状态。公平与效率。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9.市场失灵与政府作用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市场失灵与表现、原因，政府的作用； 公共物品与市场失灵、政府的作用方式； 垄断与市场失灵，政府对垄断价格和产量管制，反垄断法案与政策；外部性正效应与负效应，政府针对外部性的政策，科斯定理、交易费用和产权界定。信息不对称，“柠檬”市场，道德风险。</w:t>
      </w:r>
    </w:p>
    <w:p w:rsidR="00EB4CF9" w:rsidRDefault="00EB4CF9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（二）宏观经济学部分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1.国民收入的核算与循环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GDP</w:t>
      </w:r>
      <w:r>
        <w:rPr>
          <w:rFonts w:ascii="仿宋" w:eastAsia="仿宋" w:hAnsi="仿宋" w:hint="eastAsia"/>
          <w:sz w:val="28"/>
          <w:szCs w:val="28"/>
        </w:rPr>
        <w:t>的核算：</w:t>
      </w:r>
      <w:r>
        <w:rPr>
          <w:rFonts w:ascii="仿宋" w:eastAsia="仿宋" w:hAnsi="仿宋"/>
          <w:sz w:val="28"/>
          <w:szCs w:val="28"/>
        </w:rPr>
        <w:t>GDP</w:t>
      </w:r>
      <w:r>
        <w:rPr>
          <w:rFonts w:ascii="仿宋" w:eastAsia="仿宋" w:hAnsi="仿宋" w:hint="eastAsia"/>
          <w:sz w:val="28"/>
          <w:szCs w:val="28"/>
        </w:rPr>
        <w:t>的定义，</w:t>
      </w:r>
      <w:r>
        <w:rPr>
          <w:rFonts w:ascii="仿宋" w:eastAsia="仿宋" w:hAnsi="仿宋"/>
          <w:sz w:val="28"/>
          <w:szCs w:val="28"/>
        </w:rPr>
        <w:t>GDP</w:t>
      </w:r>
      <w:r>
        <w:rPr>
          <w:rFonts w:ascii="仿宋" w:eastAsia="仿宋" w:hAnsi="仿宋" w:hint="eastAsia"/>
          <w:sz w:val="28"/>
          <w:szCs w:val="28"/>
        </w:rPr>
        <w:t>与</w:t>
      </w:r>
      <w:r>
        <w:rPr>
          <w:rFonts w:ascii="仿宋" w:eastAsia="仿宋" w:hAnsi="仿宋"/>
          <w:sz w:val="28"/>
          <w:szCs w:val="28"/>
        </w:rPr>
        <w:t>GNP</w:t>
      </w:r>
      <w:r>
        <w:rPr>
          <w:rFonts w:ascii="仿宋" w:eastAsia="仿宋" w:hAnsi="仿宋" w:hint="eastAsia"/>
          <w:sz w:val="28"/>
          <w:szCs w:val="28"/>
        </w:rPr>
        <w:t>的区别联系，名义</w:t>
      </w:r>
      <w:r>
        <w:rPr>
          <w:rFonts w:ascii="仿宋" w:eastAsia="仿宋" w:hAnsi="仿宋"/>
          <w:sz w:val="28"/>
          <w:szCs w:val="28"/>
        </w:rPr>
        <w:t>GDP</w:t>
      </w:r>
      <w:r>
        <w:rPr>
          <w:rFonts w:ascii="仿宋" w:eastAsia="仿宋" w:hAnsi="仿宋" w:hint="eastAsia"/>
          <w:sz w:val="28"/>
          <w:szCs w:val="28"/>
        </w:rPr>
        <w:t>与实际</w:t>
      </w:r>
      <w:r>
        <w:rPr>
          <w:rFonts w:ascii="仿宋" w:eastAsia="仿宋" w:hAnsi="仿宋"/>
          <w:sz w:val="28"/>
          <w:szCs w:val="28"/>
        </w:rPr>
        <w:t>GDP</w:t>
      </w:r>
      <w:r>
        <w:rPr>
          <w:rFonts w:ascii="仿宋" w:eastAsia="仿宋" w:hAnsi="仿宋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GDP</w:t>
      </w:r>
      <w:r>
        <w:rPr>
          <w:rFonts w:ascii="仿宋" w:eastAsia="仿宋" w:hAnsi="仿宋" w:hint="eastAsia"/>
          <w:sz w:val="28"/>
          <w:szCs w:val="28"/>
        </w:rPr>
        <w:t>的核算方法；</w:t>
      </w:r>
      <w:r>
        <w:rPr>
          <w:rFonts w:ascii="仿宋" w:eastAsia="仿宋" w:hAnsi="仿宋"/>
          <w:sz w:val="28"/>
          <w:szCs w:val="28"/>
        </w:rPr>
        <w:t>GDP</w:t>
      </w:r>
      <w:r>
        <w:rPr>
          <w:rFonts w:ascii="仿宋" w:eastAsia="仿宋" w:hAnsi="仿宋" w:hint="eastAsia"/>
          <w:sz w:val="28"/>
          <w:szCs w:val="28"/>
        </w:rPr>
        <w:t>的分解：国民收入，个人可支配收入；国民收入循环；国民经济中的其他重要变量：一般价格水平，一般利息率水平，失业率。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2.国民收入决定的NI—AE模型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总支出的构成，消费函数与储蓄函数，投资类型、投资函数；国民收入的均衡，自动均衡的调整过程；国民收入的变动，乘数（1-4），引致投资与加速原理；失业缺口与紧缩缺口，均衡的调整与充分就业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3.货币市场的均衡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货币的定义与货币市场；货币需求，剑桥方程、费雪方程，</w:t>
      </w:r>
      <w:proofErr w:type="gramStart"/>
      <w:r>
        <w:rPr>
          <w:rFonts w:ascii="仿宋" w:eastAsia="仿宋" w:hAnsi="仿宋" w:hint="eastAsia"/>
          <w:sz w:val="28"/>
          <w:szCs w:val="28"/>
        </w:rPr>
        <w:t>凯</w:t>
      </w:r>
      <w:proofErr w:type="gramEnd"/>
      <w:r>
        <w:rPr>
          <w:rFonts w:ascii="仿宋" w:eastAsia="仿宋" w:hAnsi="仿宋" w:hint="eastAsia"/>
          <w:sz w:val="28"/>
          <w:szCs w:val="28"/>
        </w:rPr>
        <w:t>恩斯货币需求的三种动机，货币的总需求（函数）；货币供给，现代银行制度，中央银行的职能，准备金，商业银行的货币创造过程，货币</w:t>
      </w:r>
      <w:r>
        <w:rPr>
          <w:rFonts w:ascii="仿宋" w:eastAsia="仿宋" w:hAnsi="仿宋" w:hint="eastAsia"/>
          <w:sz w:val="28"/>
          <w:szCs w:val="28"/>
        </w:rPr>
        <w:lastRenderedPageBreak/>
        <w:t>供给与银行乘数、基础货币。货币市场的自动均衡过程，货币供求变动对货币市场均衡的影响；从货币市场到最终产品市场的传导机制。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4.双重均衡的宏观经济模型：</w:t>
      </w:r>
      <w:r>
        <w:rPr>
          <w:rFonts w:ascii="仿宋" w:eastAsia="仿宋" w:hAnsi="仿宋"/>
          <w:sz w:val="28"/>
          <w:szCs w:val="28"/>
        </w:rPr>
        <w:t>IS–LM</w:t>
      </w:r>
      <w:r>
        <w:rPr>
          <w:rFonts w:ascii="仿宋" w:eastAsia="仿宋" w:hAnsi="仿宋" w:hint="eastAsia"/>
          <w:sz w:val="28"/>
          <w:szCs w:val="28"/>
        </w:rPr>
        <w:t>模型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IS方程与曲线、表达的意义，影响IS曲线斜率和移动的因素、移动幅度；LM方程与曲线、表达的意义，影响LM曲线斜率和移动的因素、移动幅度。双重均衡的形成与均衡的变动，均衡变动的政策意义，“挤出”效应及其原因。投资陷阱、灵活偏好陷阱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5.总需求曲线与总供给曲线：三重均衡的宏观经济模型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剑桥效应与</w:t>
      </w:r>
      <w:proofErr w:type="gramStart"/>
      <w:r>
        <w:rPr>
          <w:rFonts w:ascii="仿宋" w:eastAsia="仿宋" w:hAnsi="仿宋" w:hint="eastAsia"/>
          <w:sz w:val="28"/>
          <w:szCs w:val="28"/>
        </w:rPr>
        <w:t>古典货币</w:t>
      </w:r>
      <w:proofErr w:type="gramEnd"/>
      <w:r>
        <w:rPr>
          <w:rFonts w:ascii="仿宋" w:eastAsia="仿宋" w:hAnsi="仿宋" w:hint="eastAsia"/>
          <w:sz w:val="28"/>
          <w:szCs w:val="28"/>
        </w:rPr>
        <w:t>理论特征，古典的劳动供求函数与古典的总供给曲线；</w:t>
      </w:r>
      <w:proofErr w:type="gramStart"/>
      <w:r>
        <w:rPr>
          <w:rFonts w:ascii="仿宋" w:eastAsia="仿宋" w:hAnsi="仿宋" w:hint="eastAsia"/>
          <w:sz w:val="28"/>
          <w:szCs w:val="28"/>
        </w:rPr>
        <w:t>凯</w:t>
      </w:r>
      <w:proofErr w:type="gramEnd"/>
      <w:r>
        <w:rPr>
          <w:rFonts w:ascii="仿宋" w:eastAsia="仿宋" w:hAnsi="仿宋" w:hint="eastAsia"/>
          <w:sz w:val="28"/>
          <w:szCs w:val="28"/>
        </w:rPr>
        <w:t>恩斯效应与凯恩斯总需求曲线，凯恩斯劳动供求理论、刚性工资与货币幻觉，凯恩斯的总供给曲线，新古典综合派的总供给曲线；三重均衡模型，投资陷阱与灵活偏好陷阱两个特例。长期总供给曲线，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工资粘性与短期总供给曲线，长短期总供给曲线的运用及意义。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6.失业与通货膨胀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失业与失业的类型，自然失业率，充分就业与失业，失业的代价与</w:t>
      </w:r>
      <w:proofErr w:type="gramStart"/>
      <w:r>
        <w:rPr>
          <w:rFonts w:ascii="仿宋" w:eastAsia="仿宋" w:hAnsi="仿宋" w:hint="eastAsia"/>
          <w:sz w:val="28"/>
          <w:szCs w:val="28"/>
        </w:rPr>
        <w:t>奥肯定律</w:t>
      </w:r>
      <w:proofErr w:type="gramEnd"/>
      <w:r>
        <w:rPr>
          <w:rFonts w:ascii="仿宋" w:eastAsia="仿宋" w:hAnsi="仿宋" w:hint="eastAsia"/>
          <w:sz w:val="28"/>
          <w:szCs w:val="28"/>
        </w:rPr>
        <w:t>；通货膨胀及其测度、类型，需求拉动的通货膨胀，成本推进的通货膨胀，结构性通货膨胀，通货膨胀对经济社会的影响；菲利普斯曲线，临界点，菲利普斯曲线的恶化，长短期菲利普斯曲线。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7.宏观经济政策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宏观经济政策目标：充分就业，稳定物价，经济增长，国际收支平衡。财政政策：自动的财政政策（稳定器）；相机抉择的财政政策：扩张性财政政策、紧缩性财政政策，充分就业时的财政赤字（盈余），财政赤字弥补，财政赤字的货币化及与通货膨胀关系。货币政策：货币政策工具及其运用，货币政策的传导机制，扩张性货币政策、紧缩</w:t>
      </w:r>
      <w:r>
        <w:rPr>
          <w:rFonts w:ascii="仿宋" w:eastAsia="仿宋" w:hAnsi="仿宋" w:hint="eastAsia"/>
          <w:sz w:val="28"/>
          <w:szCs w:val="28"/>
        </w:rPr>
        <w:lastRenderedPageBreak/>
        <w:t>性货币政策。货币政策与财政政策的效果：财政政策效果与IS曲线和LM曲线斜率，财政政策挤出效应；货币政策效果与IS曲线和LM曲线斜率，古典区域与财政政策无效，凯恩斯区域（流动性陷阱）、投资陷阱与货币政策无效，折衷的观点与政策有效区间；宏观经济政策实施中的时滞，财政政策与货币政策的配合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8.经济增长理论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经济增长和经济发展；哈罗德</w:t>
      </w:r>
      <w:r>
        <w:rPr>
          <w:rFonts w:ascii="仿宋" w:eastAsia="仿宋" w:hAnsi="仿宋"/>
          <w:sz w:val="28"/>
          <w:szCs w:val="28"/>
        </w:rPr>
        <w:t>—</w:t>
      </w:r>
      <w:r>
        <w:rPr>
          <w:rFonts w:ascii="仿宋" w:eastAsia="仿宋" w:hAnsi="仿宋" w:hint="eastAsia"/>
          <w:sz w:val="28"/>
          <w:szCs w:val="28"/>
        </w:rPr>
        <w:t>多马经济增长模型与经济增长的不稳定原理；新古典学派的索罗经济增长模型，索洛剩余与技术进步的测度；新剑桥学派的经济增长模型与收入分配。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9.经济周期理论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经济周期的类型及其阶段，短周期、长周期、中周期。乘数</w:t>
      </w:r>
      <w:r>
        <w:rPr>
          <w:rFonts w:ascii="仿宋" w:eastAsia="仿宋" w:hAnsi="仿宋"/>
          <w:sz w:val="28"/>
          <w:szCs w:val="28"/>
        </w:rPr>
        <w:t>—</w:t>
      </w:r>
      <w:r>
        <w:rPr>
          <w:rFonts w:ascii="仿宋" w:eastAsia="仿宋" w:hAnsi="仿宋" w:hint="eastAsia"/>
          <w:sz w:val="28"/>
          <w:szCs w:val="28"/>
        </w:rPr>
        <w:t>加速</w:t>
      </w:r>
      <w:proofErr w:type="gramStart"/>
      <w:r>
        <w:rPr>
          <w:rFonts w:ascii="仿宋" w:eastAsia="仿宋" w:hAnsi="仿宋" w:hint="eastAsia"/>
          <w:sz w:val="28"/>
          <w:szCs w:val="28"/>
        </w:rPr>
        <w:t>数经济</w:t>
      </w:r>
      <w:proofErr w:type="gramEnd"/>
      <w:r>
        <w:rPr>
          <w:rFonts w:ascii="仿宋" w:eastAsia="仿宋" w:hAnsi="仿宋" w:hint="eastAsia"/>
          <w:sz w:val="28"/>
          <w:szCs w:val="28"/>
        </w:rPr>
        <w:t>周期模型。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10.宏观经济学流派</w:t>
      </w:r>
    </w:p>
    <w:p w:rsidR="00EB4CF9" w:rsidRDefault="00760577">
      <w:pPr>
        <w:snapToGrid w:val="0"/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货币主义、新古典宏观经济学和新凯恩斯主义经济学的理论与政策主张的异同。</w:t>
      </w:r>
    </w:p>
    <w:p w:rsidR="00EB4CF9" w:rsidRDefault="00EB4CF9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EB4CF9" w:rsidRDefault="00EB4CF9"/>
    <w:sectPr w:rsidR="00EB4CF9" w:rsidSect="00EB4CF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7C44" w:rsidRDefault="00A97C44" w:rsidP="00EB4CF9">
      <w:r>
        <w:separator/>
      </w:r>
    </w:p>
  </w:endnote>
  <w:endnote w:type="continuationSeparator" w:id="0">
    <w:p w:rsidR="00A97C44" w:rsidRDefault="00A97C44" w:rsidP="00EB4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096121"/>
    </w:sdtPr>
    <w:sdtEndPr/>
    <w:sdtContent>
      <w:p w:rsidR="00EB4CF9" w:rsidRDefault="00EB4CF9">
        <w:pPr>
          <w:pStyle w:val="a3"/>
          <w:jc w:val="center"/>
        </w:pPr>
        <w:r>
          <w:fldChar w:fldCharType="begin"/>
        </w:r>
        <w:r w:rsidR="00760577">
          <w:instrText>PAGE   \* MERGEFORMAT</w:instrText>
        </w:r>
        <w:r>
          <w:fldChar w:fldCharType="separate"/>
        </w:r>
        <w:r w:rsidR="00852DD5" w:rsidRPr="00852DD5">
          <w:rPr>
            <w:noProof/>
            <w:lang w:val="zh-CN"/>
          </w:rPr>
          <w:t>2</w:t>
        </w:r>
        <w:r>
          <w:fldChar w:fldCharType="end"/>
        </w:r>
      </w:p>
    </w:sdtContent>
  </w:sdt>
  <w:p w:rsidR="00EB4CF9" w:rsidRDefault="00EB4CF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7C44" w:rsidRDefault="00A97C44" w:rsidP="00EB4CF9">
      <w:r>
        <w:separator/>
      </w:r>
    </w:p>
  </w:footnote>
  <w:footnote w:type="continuationSeparator" w:id="0">
    <w:p w:rsidR="00A97C44" w:rsidRDefault="00A97C44" w:rsidP="00EB4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35C"/>
    <w:rsid w:val="00015B67"/>
    <w:rsid w:val="00037FA5"/>
    <w:rsid w:val="0006361D"/>
    <w:rsid w:val="0007243B"/>
    <w:rsid w:val="0009571E"/>
    <w:rsid w:val="000B1807"/>
    <w:rsid w:val="000C2A48"/>
    <w:rsid w:val="001021E1"/>
    <w:rsid w:val="00126F7E"/>
    <w:rsid w:val="00133432"/>
    <w:rsid w:val="001361A8"/>
    <w:rsid w:val="00146C58"/>
    <w:rsid w:val="00156DEE"/>
    <w:rsid w:val="001574C7"/>
    <w:rsid w:val="00161536"/>
    <w:rsid w:val="001D3768"/>
    <w:rsid w:val="001E10A0"/>
    <w:rsid w:val="00200BD7"/>
    <w:rsid w:val="002339C2"/>
    <w:rsid w:val="002435EA"/>
    <w:rsid w:val="002B60C5"/>
    <w:rsid w:val="002C0860"/>
    <w:rsid w:val="002C376C"/>
    <w:rsid w:val="002E2D86"/>
    <w:rsid w:val="00310721"/>
    <w:rsid w:val="0032409A"/>
    <w:rsid w:val="0034685A"/>
    <w:rsid w:val="003523D0"/>
    <w:rsid w:val="003A3AAC"/>
    <w:rsid w:val="003D569F"/>
    <w:rsid w:val="00403B97"/>
    <w:rsid w:val="00447885"/>
    <w:rsid w:val="00450461"/>
    <w:rsid w:val="005064F7"/>
    <w:rsid w:val="00534F11"/>
    <w:rsid w:val="005F2987"/>
    <w:rsid w:val="006013EC"/>
    <w:rsid w:val="00611DB1"/>
    <w:rsid w:val="006242B7"/>
    <w:rsid w:val="00636372"/>
    <w:rsid w:val="006638D0"/>
    <w:rsid w:val="006E3DF0"/>
    <w:rsid w:val="006E4DCE"/>
    <w:rsid w:val="007138CF"/>
    <w:rsid w:val="00747C00"/>
    <w:rsid w:val="007522B3"/>
    <w:rsid w:val="00755916"/>
    <w:rsid w:val="00760577"/>
    <w:rsid w:val="00794E77"/>
    <w:rsid w:val="007E1586"/>
    <w:rsid w:val="00811CA6"/>
    <w:rsid w:val="00852DD5"/>
    <w:rsid w:val="008653E1"/>
    <w:rsid w:val="0089035C"/>
    <w:rsid w:val="008A17C3"/>
    <w:rsid w:val="008A5DF0"/>
    <w:rsid w:val="008C2853"/>
    <w:rsid w:val="008E045A"/>
    <w:rsid w:val="008E3C3C"/>
    <w:rsid w:val="00901E51"/>
    <w:rsid w:val="00925D07"/>
    <w:rsid w:val="00935975"/>
    <w:rsid w:val="009D530A"/>
    <w:rsid w:val="00A2472B"/>
    <w:rsid w:val="00A55438"/>
    <w:rsid w:val="00A61819"/>
    <w:rsid w:val="00A63534"/>
    <w:rsid w:val="00A97C44"/>
    <w:rsid w:val="00AA30DB"/>
    <w:rsid w:val="00AA6CD7"/>
    <w:rsid w:val="00AD4FEF"/>
    <w:rsid w:val="00B01A1F"/>
    <w:rsid w:val="00B45BC5"/>
    <w:rsid w:val="00BA1AFF"/>
    <w:rsid w:val="00BB2D68"/>
    <w:rsid w:val="00BF52D0"/>
    <w:rsid w:val="00C23E21"/>
    <w:rsid w:val="00C64C25"/>
    <w:rsid w:val="00CD128A"/>
    <w:rsid w:val="00D474A9"/>
    <w:rsid w:val="00D54D0E"/>
    <w:rsid w:val="00D83EE9"/>
    <w:rsid w:val="00DB4731"/>
    <w:rsid w:val="00DC1F90"/>
    <w:rsid w:val="00DC414D"/>
    <w:rsid w:val="00DE449E"/>
    <w:rsid w:val="00E31692"/>
    <w:rsid w:val="00E533D7"/>
    <w:rsid w:val="00E96B60"/>
    <w:rsid w:val="00EA0CCC"/>
    <w:rsid w:val="00EB4CF9"/>
    <w:rsid w:val="00F00D96"/>
    <w:rsid w:val="00F01C77"/>
    <w:rsid w:val="00F21F89"/>
    <w:rsid w:val="00F5109D"/>
    <w:rsid w:val="00F82FCF"/>
    <w:rsid w:val="00F95004"/>
    <w:rsid w:val="00FA551D"/>
    <w:rsid w:val="14E7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7C47E"/>
  <w15:docId w15:val="{58C9F559-17EA-45FB-B0C3-17D0CD84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CF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B4C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4C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sid w:val="00EB4CF9"/>
    <w:rPr>
      <w:b/>
      <w:bCs/>
    </w:rPr>
  </w:style>
  <w:style w:type="character" w:customStyle="1" w:styleId="a6">
    <w:name w:val="页眉 字符"/>
    <w:basedOn w:val="a0"/>
    <w:link w:val="a5"/>
    <w:uiPriority w:val="99"/>
    <w:rsid w:val="00EB4CF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EB4CF9"/>
    <w:rPr>
      <w:sz w:val="18"/>
      <w:szCs w:val="18"/>
    </w:rPr>
  </w:style>
  <w:style w:type="paragraph" w:customStyle="1" w:styleId="1">
    <w:name w:val="样式1"/>
    <w:basedOn w:val="a"/>
    <w:qFormat/>
    <w:rsid w:val="00EB4CF9"/>
    <w:pPr>
      <w:spacing w:line="360" w:lineRule="auto"/>
      <w:jc w:val="left"/>
    </w:pPr>
    <w:rPr>
      <w:rFonts w:ascii="Times New Roman" w:eastAsia="黑体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52DD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52DD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微软用户</cp:lastModifiedBy>
  <cp:revision>6</cp:revision>
  <dcterms:created xsi:type="dcterms:W3CDTF">2014-09-24T02:50:00Z</dcterms:created>
  <dcterms:modified xsi:type="dcterms:W3CDTF">2018-09-04T01:55:00Z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