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C45" w:rsidRDefault="00D47C45">
      <w:pPr>
        <w:spacing w:line="400" w:lineRule="exact"/>
        <w:jc w:val="center"/>
        <w:rPr>
          <w:rFonts w:ascii="楷体_GB2312" w:eastAsia="楷体_GB2312"/>
          <w:b/>
          <w:sz w:val="28"/>
          <w:szCs w:val="28"/>
        </w:rPr>
      </w:pPr>
    </w:p>
    <w:p w:rsidR="00D47C45" w:rsidRDefault="00D47C45">
      <w:pPr>
        <w:spacing w:line="400" w:lineRule="exact"/>
        <w:jc w:val="center"/>
        <w:rPr>
          <w:rFonts w:ascii="楷体_GB2312" w:eastAsia="楷体_GB2312"/>
          <w:b/>
          <w:sz w:val="28"/>
          <w:szCs w:val="28"/>
        </w:rPr>
      </w:pPr>
    </w:p>
    <w:p w:rsidR="004A489E" w:rsidRDefault="00403422">
      <w:pPr>
        <w:spacing w:line="400" w:lineRule="exact"/>
        <w:jc w:val="center"/>
        <w:rPr>
          <w:rFonts w:ascii="楷体_GB2312" w:eastAsia="楷体_GB2312"/>
          <w:b/>
          <w:sz w:val="28"/>
          <w:szCs w:val="28"/>
        </w:rPr>
      </w:pPr>
      <w:r>
        <w:rPr>
          <w:rFonts w:ascii="楷体_GB2312" w:eastAsia="楷体_GB2312" w:hint="eastAsia"/>
          <w:b/>
          <w:sz w:val="28"/>
          <w:szCs w:val="28"/>
        </w:rPr>
        <w:t>20</w:t>
      </w:r>
      <w:r w:rsidR="000662F9">
        <w:rPr>
          <w:rFonts w:ascii="楷体_GB2312" w:eastAsia="楷体_GB2312" w:hint="eastAsia"/>
          <w:b/>
          <w:sz w:val="28"/>
          <w:szCs w:val="28"/>
        </w:rPr>
        <w:t>20</w:t>
      </w:r>
      <w:r w:rsidR="004A489E">
        <w:rPr>
          <w:rFonts w:ascii="楷体_GB2312" w:eastAsia="楷体_GB2312" w:hint="eastAsia"/>
          <w:b/>
          <w:sz w:val="28"/>
          <w:szCs w:val="28"/>
        </w:rPr>
        <w:t>年南通大学硕士研究生入学考试复习大纲</w:t>
      </w:r>
    </w:p>
    <w:p w:rsidR="004A489E" w:rsidRDefault="004A489E" w:rsidP="008825FF">
      <w:pPr>
        <w:spacing w:beforeLines="50" w:line="400" w:lineRule="exact"/>
        <w:rPr>
          <w:rFonts w:ascii="楷体_GB2312" w:eastAsia="楷体_GB2312"/>
          <w:b/>
          <w:sz w:val="28"/>
          <w:szCs w:val="28"/>
        </w:rPr>
      </w:pPr>
      <w:r>
        <w:rPr>
          <w:rFonts w:ascii="楷体_GB2312" w:eastAsia="楷体_GB2312" w:hint="eastAsia"/>
          <w:b/>
          <w:sz w:val="28"/>
          <w:szCs w:val="28"/>
        </w:rPr>
        <w:t xml:space="preserve">培养单位: </w:t>
      </w:r>
      <w:r w:rsidR="00F41D56">
        <w:rPr>
          <w:rFonts w:ascii="楷体_GB2312" w:eastAsia="楷体_GB2312" w:hint="eastAsia"/>
          <w:b/>
          <w:sz w:val="28"/>
          <w:szCs w:val="28"/>
        </w:rPr>
        <w:t>电气工程学院</w:t>
      </w:r>
      <w:r>
        <w:rPr>
          <w:rFonts w:ascii="楷体_GB2312" w:eastAsia="楷体_GB2312" w:hint="eastAsia"/>
          <w:b/>
          <w:sz w:val="28"/>
          <w:szCs w:val="28"/>
        </w:rPr>
        <w:t xml:space="preserve">                   </w:t>
      </w:r>
      <w:r w:rsidR="00D47C45">
        <w:rPr>
          <w:rFonts w:hint="eastAsia"/>
          <w:b/>
          <w:sz w:val="28"/>
          <w:szCs w:val="28"/>
        </w:rPr>
        <w:t xml:space="preserve"> </w:t>
      </w:r>
      <w:r w:rsidR="00F41D56">
        <w:rPr>
          <w:rFonts w:hint="eastAsia"/>
          <w:b/>
          <w:sz w:val="28"/>
          <w:szCs w:val="28"/>
        </w:rPr>
        <w:t>201</w:t>
      </w:r>
      <w:r w:rsidR="000662F9">
        <w:rPr>
          <w:rFonts w:hint="eastAsia"/>
          <w:b/>
          <w:sz w:val="28"/>
          <w:szCs w:val="28"/>
        </w:rPr>
        <w:t>9</w:t>
      </w:r>
      <w:r w:rsidR="00F41D56">
        <w:rPr>
          <w:rFonts w:hint="eastAsia"/>
          <w:b/>
          <w:sz w:val="28"/>
          <w:szCs w:val="28"/>
        </w:rPr>
        <w:t xml:space="preserve">  </w:t>
      </w:r>
      <w:r>
        <w:rPr>
          <w:rFonts w:hint="eastAsia"/>
          <w:b/>
          <w:sz w:val="28"/>
          <w:szCs w:val="28"/>
        </w:rPr>
        <w:t>年</w:t>
      </w:r>
      <w:r w:rsidR="00D47C45">
        <w:rPr>
          <w:rFonts w:hint="eastAsia"/>
          <w:b/>
          <w:sz w:val="28"/>
          <w:szCs w:val="28"/>
        </w:rPr>
        <w:t xml:space="preserve"> </w:t>
      </w:r>
      <w:r w:rsidR="00F41D56">
        <w:rPr>
          <w:rFonts w:hint="eastAsia"/>
          <w:b/>
          <w:sz w:val="28"/>
          <w:szCs w:val="28"/>
        </w:rPr>
        <w:t xml:space="preserve"> 5</w:t>
      </w:r>
      <w:r w:rsidR="00D47C45">
        <w:rPr>
          <w:rFonts w:hint="eastAsia"/>
          <w:b/>
          <w:sz w:val="28"/>
          <w:szCs w:val="28"/>
        </w:rPr>
        <w:t xml:space="preserve"> </w:t>
      </w:r>
      <w:r w:rsidR="00F41D56">
        <w:rPr>
          <w:rFonts w:hint="eastAsia"/>
          <w:b/>
          <w:sz w:val="28"/>
          <w:szCs w:val="28"/>
        </w:rPr>
        <w:t xml:space="preserve"> </w:t>
      </w:r>
      <w:r>
        <w:rPr>
          <w:rFonts w:hint="eastAsia"/>
          <w:b/>
          <w:sz w:val="28"/>
          <w:szCs w:val="28"/>
        </w:rPr>
        <w:t>月</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080"/>
        <w:gridCol w:w="1440"/>
        <w:gridCol w:w="1800"/>
        <w:gridCol w:w="1620"/>
        <w:gridCol w:w="900"/>
        <w:gridCol w:w="1080"/>
      </w:tblGrid>
      <w:tr w:rsidR="004A489E" w:rsidTr="00F41D56">
        <w:trPr>
          <w:trHeight w:val="420"/>
          <w:jc w:val="center"/>
        </w:trPr>
        <w:tc>
          <w:tcPr>
            <w:tcW w:w="1260" w:type="dxa"/>
            <w:vAlign w:val="center"/>
          </w:tcPr>
          <w:p w:rsidR="004A489E" w:rsidRDefault="004A489E">
            <w:pPr>
              <w:jc w:val="center"/>
              <w:rPr>
                <w:b/>
              </w:rPr>
            </w:pPr>
            <w:r>
              <w:rPr>
                <w:rFonts w:hint="eastAsia"/>
                <w:b/>
              </w:rPr>
              <w:t>科目名称</w:t>
            </w:r>
          </w:p>
        </w:tc>
        <w:tc>
          <w:tcPr>
            <w:tcW w:w="4320" w:type="dxa"/>
            <w:gridSpan w:val="3"/>
            <w:vAlign w:val="center"/>
          </w:tcPr>
          <w:p w:rsidR="004A489E" w:rsidRDefault="00A13195">
            <w:pPr>
              <w:jc w:val="center"/>
              <w:rPr>
                <w:b/>
              </w:rPr>
            </w:pPr>
            <w:r>
              <w:rPr>
                <w:rFonts w:hAnsi="Arial"/>
                <w:kern w:val="0"/>
                <w:szCs w:val="21"/>
              </w:rPr>
              <w:t>自动控制理论</w:t>
            </w:r>
            <w:r>
              <w:rPr>
                <w:rFonts w:hint="eastAsia"/>
                <w:color w:val="000000"/>
              </w:rPr>
              <w:t>(</w:t>
            </w:r>
            <w:r>
              <w:rPr>
                <w:rFonts w:hint="eastAsia"/>
                <w:color w:val="000000"/>
              </w:rPr>
              <w:t>含经典与现代部分</w:t>
            </w:r>
            <w:r>
              <w:rPr>
                <w:rFonts w:hint="eastAsia"/>
                <w:color w:val="000000"/>
              </w:rPr>
              <w:t>)</w:t>
            </w:r>
          </w:p>
        </w:tc>
        <w:tc>
          <w:tcPr>
            <w:tcW w:w="1620" w:type="dxa"/>
            <w:vAlign w:val="center"/>
          </w:tcPr>
          <w:p w:rsidR="004A489E" w:rsidRDefault="004A489E">
            <w:pPr>
              <w:jc w:val="center"/>
              <w:rPr>
                <w:b/>
              </w:rPr>
            </w:pPr>
            <w:r>
              <w:rPr>
                <w:rFonts w:hint="eastAsia"/>
                <w:b/>
              </w:rPr>
              <w:t>科目代码</w:t>
            </w:r>
          </w:p>
        </w:tc>
        <w:tc>
          <w:tcPr>
            <w:tcW w:w="1980" w:type="dxa"/>
            <w:gridSpan w:val="2"/>
            <w:vAlign w:val="center"/>
          </w:tcPr>
          <w:p w:rsidR="004A489E" w:rsidRDefault="00F41D56" w:rsidP="000662F9">
            <w:pPr>
              <w:jc w:val="center"/>
              <w:rPr>
                <w:b/>
              </w:rPr>
            </w:pPr>
            <w:r>
              <w:rPr>
                <w:rFonts w:hint="eastAsia"/>
                <w:b/>
              </w:rPr>
              <w:t>8</w:t>
            </w:r>
            <w:r w:rsidR="000662F9">
              <w:rPr>
                <w:rFonts w:hint="eastAsia"/>
                <w:b/>
              </w:rPr>
              <w:t>20</w:t>
            </w:r>
          </w:p>
        </w:tc>
      </w:tr>
      <w:tr w:rsidR="004A489E" w:rsidTr="00F41D56">
        <w:trPr>
          <w:trHeight w:val="391"/>
          <w:jc w:val="center"/>
        </w:trPr>
        <w:tc>
          <w:tcPr>
            <w:tcW w:w="9180" w:type="dxa"/>
            <w:gridSpan w:val="7"/>
            <w:vAlign w:val="center"/>
          </w:tcPr>
          <w:p w:rsidR="004A489E" w:rsidRDefault="004A489E">
            <w:pPr>
              <w:jc w:val="center"/>
              <w:rPr>
                <w:b/>
              </w:rPr>
            </w:pPr>
            <w:r>
              <w:rPr>
                <w:rFonts w:hint="eastAsia"/>
                <w:b/>
              </w:rPr>
              <w:t>考试范围及要点</w:t>
            </w:r>
          </w:p>
        </w:tc>
      </w:tr>
      <w:tr w:rsidR="004A489E" w:rsidTr="00F41D56">
        <w:trPr>
          <w:trHeight w:val="6215"/>
          <w:jc w:val="center"/>
        </w:trPr>
        <w:tc>
          <w:tcPr>
            <w:tcW w:w="9180" w:type="dxa"/>
            <w:gridSpan w:val="7"/>
          </w:tcPr>
          <w:p w:rsidR="00A13195" w:rsidRDefault="00A13195" w:rsidP="008825FF">
            <w:pPr>
              <w:spacing w:beforeLines="50" w:line="360" w:lineRule="exact"/>
              <w:ind w:firstLineChars="200" w:firstLine="480"/>
              <w:rPr>
                <w:rFonts w:hAnsi="Arial"/>
                <w:kern w:val="0"/>
                <w:sz w:val="24"/>
              </w:rPr>
            </w:pPr>
            <w:r w:rsidRPr="00DE3058">
              <w:rPr>
                <w:rFonts w:ascii="宋体" w:hAnsi="宋体" w:hint="eastAsia"/>
                <w:sz w:val="24"/>
              </w:rPr>
              <w:t>本大纲适用于报考南通大学控制</w:t>
            </w:r>
            <w:r>
              <w:rPr>
                <w:rFonts w:ascii="宋体" w:hAnsi="宋体" w:hint="eastAsia"/>
                <w:sz w:val="24"/>
              </w:rPr>
              <w:t>科学与工程学科</w:t>
            </w:r>
            <w:r w:rsidRPr="00DE3058">
              <w:rPr>
                <w:rFonts w:ascii="宋体" w:hAnsi="宋体" w:hint="eastAsia"/>
                <w:sz w:val="24"/>
              </w:rPr>
              <w:t>的硕士研究生入学考试</w:t>
            </w:r>
            <w:r>
              <w:rPr>
                <w:rFonts w:hAnsi="Arial" w:hint="eastAsia"/>
                <w:kern w:val="0"/>
                <w:sz w:val="24"/>
              </w:rPr>
              <w:t>。本课程主要考核</w:t>
            </w:r>
            <w:r>
              <w:rPr>
                <w:rFonts w:hAnsi="Arial"/>
                <w:kern w:val="0"/>
                <w:sz w:val="24"/>
              </w:rPr>
              <w:t>自动控制理论</w:t>
            </w:r>
            <w:r>
              <w:rPr>
                <w:rFonts w:hAnsi="Arial" w:hint="eastAsia"/>
                <w:kern w:val="0"/>
                <w:sz w:val="24"/>
              </w:rPr>
              <w:t>课程的基本概念、基本理论与基本计算方法。</w:t>
            </w:r>
          </w:p>
          <w:p w:rsidR="00A13195" w:rsidRDefault="00A13195" w:rsidP="00A13195">
            <w:pPr>
              <w:spacing w:line="360" w:lineRule="exact"/>
              <w:ind w:firstLineChars="200" w:firstLine="480"/>
              <w:rPr>
                <w:rFonts w:hAnsi="Arial"/>
                <w:kern w:val="0"/>
                <w:sz w:val="24"/>
              </w:rPr>
            </w:pPr>
            <w:r>
              <w:rPr>
                <w:rFonts w:hAnsi="Arial"/>
                <w:kern w:val="0"/>
                <w:sz w:val="24"/>
              </w:rPr>
              <w:t>一、</w:t>
            </w:r>
            <w:r>
              <w:rPr>
                <w:rFonts w:hAnsi="Arial" w:hint="eastAsia"/>
                <w:kern w:val="0"/>
                <w:sz w:val="24"/>
              </w:rPr>
              <w:t>经典</w:t>
            </w:r>
            <w:r>
              <w:rPr>
                <w:rFonts w:hAnsi="Arial"/>
                <w:kern w:val="0"/>
                <w:sz w:val="24"/>
              </w:rPr>
              <w:t>控制理论部分</w:t>
            </w:r>
          </w:p>
          <w:p w:rsidR="00A13195" w:rsidRDefault="00A13195" w:rsidP="00A13195">
            <w:pPr>
              <w:spacing w:line="360" w:lineRule="exact"/>
              <w:ind w:firstLineChars="200" w:firstLine="480"/>
              <w:rPr>
                <w:rFonts w:hAnsi="Arial"/>
                <w:kern w:val="0"/>
                <w:sz w:val="24"/>
              </w:rPr>
            </w:pPr>
            <w:r>
              <w:rPr>
                <w:rFonts w:hAnsi="Arial" w:hint="eastAsia"/>
                <w:kern w:val="0"/>
                <w:sz w:val="24"/>
              </w:rPr>
              <w:t>1</w:t>
            </w:r>
            <w:r>
              <w:rPr>
                <w:rFonts w:hAnsi="Arial" w:hint="eastAsia"/>
                <w:kern w:val="0"/>
                <w:sz w:val="24"/>
              </w:rPr>
              <w:t>、</w:t>
            </w:r>
            <w:r>
              <w:rPr>
                <w:rFonts w:hAnsi="Arial"/>
                <w:kern w:val="0"/>
                <w:sz w:val="24"/>
              </w:rPr>
              <w:t>线性系统的数学模型</w:t>
            </w:r>
            <w:r>
              <w:rPr>
                <w:rFonts w:hAnsi="Arial" w:hint="eastAsia"/>
                <w:kern w:val="0"/>
                <w:sz w:val="24"/>
              </w:rPr>
              <w:t>：</w:t>
            </w:r>
            <w:r>
              <w:rPr>
                <w:rFonts w:hAnsi="Arial"/>
                <w:kern w:val="0"/>
                <w:sz w:val="24"/>
              </w:rPr>
              <w:t>了解数学模型的基本概念、表达方式，建模方法。掌握传递函数的概念，用传递函数（或微分方程）与方框图描述系统的方法。重点掌握电气系统</w:t>
            </w:r>
            <w:r>
              <w:rPr>
                <w:rFonts w:hAnsi="Arial" w:hint="eastAsia"/>
                <w:kern w:val="0"/>
                <w:sz w:val="24"/>
              </w:rPr>
              <w:t>、力学系统</w:t>
            </w:r>
            <w:r>
              <w:rPr>
                <w:rFonts w:hAnsi="Arial"/>
                <w:kern w:val="0"/>
                <w:sz w:val="24"/>
              </w:rPr>
              <w:t>的建模，方框图的化简（包括用信号流图化简）。</w:t>
            </w:r>
          </w:p>
          <w:p w:rsidR="00A13195" w:rsidRDefault="00A13195" w:rsidP="00A13195">
            <w:pPr>
              <w:spacing w:line="360" w:lineRule="exact"/>
              <w:ind w:firstLineChars="200" w:firstLine="480"/>
              <w:rPr>
                <w:rFonts w:hAnsi="Arial"/>
                <w:kern w:val="0"/>
                <w:sz w:val="24"/>
              </w:rPr>
            </w:pPr>
            <w:r>
              <w:rPr>
                <w:rFonts w:hAnsi="Arial" w:hint="eastAsia"/>
                <w:kern w:val="0"/>
                <w:sz w:val="24"/>
              </w:rPr>
              <w:t>2</w:t>
            </w:r>
            <w:r>
              <w:rPr>
                <w:rFonts w:hAnsi="Arial" w:hint="eastAsia"/>
                <w:kern w:val="0"/>
                <w:sz w:val="24"/>
              </w:rPr>
              <w:t>、</w:t>
            </w:r>
            <w:r>
              <w:rPr>
                <w:rFonts w:hAnsi="Arial"/>
                <w:kern w:val="0"/>
                <w:sz w:val="24"/>
              </w:rPr>
              <w:t>控制系统的时域分析</w:t>
            </w:r>
            <w:r>
              <w:rPr>
                <w:rFonts w:hAnsi="Arial" w:hint="eastAsia"/>
                <w:kern w:val="0"/>
                <w:sz w:val="24"/>
              </w:rPr>
              <w:t>：掌握</w:t>
            </w:r>
            <w:r>
              <w:rPr>
                <w:rFonts w:hAnsi="Arial"/>
                <w:kern w:val="0"/>
                <w:sz w:val="24"/>
              </w:rPr>
              <w:t>时域响应及暂态响应的性能指标，线性系统的稳定性</w:t>
            </w:r>
            <w:r>
              <w:rPr>
                <w:rFonts w:hAnsi="Arial" w:hint="eastAsia"/>
                <w:kern w:val="0"/>
                <w:sz w:val="24"/>
              </w:rPr>
              <w:t>定义</w:t>
            </w:r>
            <w:r>
              <w:rPr>
                <w:rFonts w:hAnsi="Arial"/>
                <w:kern w:val="0"/>
                <w:sz w:val="24"/>
              </w:rPr>
              <w:t>及稳态误差</w:t>
            </w:r>
            <w:r>
              <w:rPr>
                <w:rFonts w:hAnsi="Arial" w:hint="eastAsia"/>
                <w:kern w:val="0"/>
                <w:sz w:val="24"/>
              </w:rPr>
              <w:t>定义</w:t>
            </w:r>
            <w:r>
              <w:rPr>
                <w:rFonts w:hAnsi="Arial"/>
                <w:kern w:val="0"/>
                <w:sz w:val="24"/>
              </w:rPr>
              <w:t>。</w:t>
            </w:r>
            <w:r>
              <w:rPr>
                <w:rFonts w:hAnsi="Arial" w:hint="eastAsia"/>
                <w:kern w:val="0"/>
                <w:sz w:val="24"/>
              </w:rPr>
              <w:t>掌握系统类型判别</w:t>
            </w:r>
            <w:r>
              <w:rPr>
                <w:rFonts w:hAnsi="Arial"/>
                <w:kern w:val="0"/>
                <w:sz w:val="24"/>
              </w:rPr>
              <w:t>。重点掌握稳定性判别、稳态误差误差</w:t>
            </w:r>
            <w:r>
              <w:rPr>
                <w:rFonts w:hAnsi="Arial" w:hint="eastAsia"/>
                <w:kern w:val="0"/>
                <w:sz w:val="24"/>
              </w:rPr>
              <w:t>计算</w:t>
            </w:r>
            <w:r>
              <w:rPr>
                <w:rFonts w:hAnsi="Arial"/>
                <w:kern w:val="0"/>
                <w:sz w:val="24"/>
              </w:rPr>
              <w:t>及二阶系统（欠阻尼情况下）暂态响应指标（最大超调量、调</w:t>
            </w:r>
            <w:r>
              <w:rPr>
                <w:rFonts w:hAnsi="Arial" w:hint="eastAsia"/>
                <w:kern w:val="0"/>
                <w:sz w:val="24"/>
              </w:rPr>
              <w:t>节</w:t>
            </w:r>
            <w:r>
              <w:rPr>
                <w:rFonts w:hAnsi="Arial"/>
                <w:kern w:val="0"/>
                <w:sz w:val="24"/>
              </w:rPr>
              <w:t>时间</w:t>
            </w:r>
            <w:r>
              <w:rPr>
                <w:rFonts w:hAnsi="Arial" w:hint="eastAsia"/>
                <w:kern w:val="0"/>
                <w:sz w:val="24"/>
              </w:rPr>
              <w:t>等</w:t>
            </w:r>
            <w:r>
              <w:rPr>
                <w:rFonts w:hAnsi="Arial"/>
                <w:kern w:val="0"/>
                <w:sz w:val="24"/>
              </w:rPr>
              <w:t>）的计算</w:t>
            </w:r>
            <w:r>
              <w:rPr>
                <w:rFonts w:hAnsi="Arial" w:hint="eastAsia"/>
                <w:kern w:val="0"/>
                <w:sz w:val="24"/>
              </w:rPr>
              <w:t>及应用</w:t>
            </w:r>
            <w:r>
              <w:rPr>
                <w:rFonts w:hAnsi="Arial"/>
                <w:kern w:val="0"/>
                <w:sz w:val="24"/>
              </w:rPr>
              <w:t>。</w:t>
            </w:r>
          </w:p>
          <w:p w:rsidR="00A13195" w:rsidRDefault="00A13195" w:rsidP="00A13195">
            <w:pPr>
              <w:spacing w:line="360" w:lineRule="exact"/>
              <w:ind w:firstLineChars="200" w:firstLine="480"/>
              <w:rPr>
                <w:rFonts w:hAnsi="Arial"/>
                <w:kern w:val="0"/>
                <w:sz w:val="24"/>
              </w:rPr>
            </w:pPr>
            <w:r>
              <w:rPr>
                <w:rFonts w:hAnsi="Arial" w:hint="eastAsia"/>
                <w:kern w:val="0"/>
                <w:sz w:val="24"/>
              </w:rPr>
              <w:t>3</w:t>
            </w:r>
            <w:r>
              <w:rPr>
                <w:rFonts w:hAnsi="Arial" w:hint="eastAsia"/>
                <w:kern w:val="0"/>
                <w:sz w:val="24"/>
              </w:rPr>
              <w:t>、</w:t>
            </w:r>
            <w:r>
              <w:rPr>
                <w:rFonts w:hAnsi="Arial"/>
                <w:kern w:val="0"/>
                <w:sz w:val="24"/>
              </w:rPr>
              <w:t>根轨迹法</w:t>
            </w:r>
            <w:r>
              <w:rPr>
                <w:rFonts w:hAnsi="Arial" w:hint="eastAsia"/>
                <w:kern w:val="0"/>
                <w:sz w:val="24"/>
              </w:rPr>
              <w:t>：熟悉</w:t>
            </w:r>
            <w:r>
              <w:rPr>
                <w:rFonts w:hAnsi="Arial"/>
                <w:kern w:val="0"/>
                <w:sz w:val="24"/>
              </w:rPr>
              <w:t>常规根轨迹</w:t>
            </w:r>
            <w:r>
              <w:rPr>
                <w:rFonts w:hAnsi="Arial" w:hint="eastAsia"/>
                <w:kern w:val="0"/>
                <w:sz w:val="24"/>
              </w:rPr>
              <w:t>绘制</w:t>
            </w:r>
            <w:r>
              <w:rPr>
                <w:rFonts w:hAnsi="Arial"/>
                <w:kern w:val="0"/>
                <w:sz w:val="24"/>
              </w:rPr>
              <w:t>的基本</w:t>
            </w:r>
            <w:r>
              <w:rPr>
                <w:rFonts w:hAnsi="Arial" w:hint="eastAsia"/>
                <w:kern w:val="0"/>
                <w:sz w:val="24"/>
              </w:rPr>
              <w:t>法则、掌握</w:t>
            </w:r>
            <w:r>
              <w:rPr>
                <w:rFonts w:hAnsi="Arial"/>
                <w:kern w:val="0"/>
                <w:sz w:val="24"/>
              </w:rPr>
              <w:t>常规根轨迹</w:t>
            </w:r>
            <w:r>
              <w:rPr>
                <w:rFonts w:hAnsi="Arial" w:hint="eastAsia"/>
                <w:kern w:val="0"/>
                <w:sz w:val="24"/>
              </w:rPr>
              <w:t>绘制方法</w:t>
            </w:r>
            <w:r>
              <w:rPr>
                <w:rFonts w:hAnsi="Arial"/>
                <w:kern w:val="0"/>
                <w:sz w:val="24"/>
              </w:rPr>
              <w:t>。了解参数根轨迹与</w:t>
            </w:r>
            <w:r>
              <w:rPr>
                <w:rFonts w:hAnsi="Arial" w:hint="eastAsia"/>
                <w:kern w:val="0"/>
                <w:sz w:val="24"/>
              </w:rPr>
              <w:t>零度</w:t>
            </w:r>
            <w:r>
              <w:rPr>
                <w:rFonts w:hAnsi="Arial"/>
                <w:kern w:val="0"/>
                <w:sz w:val="24"/>
              </w:rPr>
              <w:t>根轨迹的基本概念</w:t>
            </w:r>
            <w:r>
              <w:rPr>
                <w:rFonts w:hAnsi="Arial" w:hint="eastAsia"/>
                <w:kern w:val="0"/>
                <w:sz w:val="24"/>
              </w:rPr>
              <w:t>、熟悉参数根轨迹及零度</w:t>
            </w:r>
            <w:r>
              <w:rPr>
                <w:rFonts w:hAnsi="Arial"/>
                <w:kern w:val="0"/>
                <w:sz w:val="24"/>
              </w:rPr>
              <w:t>根轨迹</w:t>
            </w:r>
            <w:r>
              <w:rPr>
                <w:rFonts w:hAnsi="Arial" w:hint="eastAsia"/>
                <w:kern w:val="0"/>
                <w:sz w:val="24"/>
              </w:rPr>
              <w:t>绘制方法</w:t>
            </w:r>
            <w:r>
              <w:rPr>
                <w:rFonts w:hAnsi="Arial"/>
                <w:kern w:val="0"/>
                <w:sz w:val="24"/>
              </w:rPr>
              <w:t>。</w:t>
            </w:r>
            <w:r>
              <w:rPr>
                <w:rFonts w:hAnsi="Arial" w:hint="eastAsia"/>
                <w:kern w:val="0"/>
                <w:sz w:val="24"/>
              </w:rPr>
              <w:t>了解</w:t>
            </w:r>
            <w:r>
              <w:rPr>
                <w:rFonts w:hAnsi="Arial"/>
                <w:kern w:val="0"/>
                <w:sz w:val="24"/>
              </w:rPr>
              <w:t>根轨迹与系统各项性能指标的关系。重点掌握常规根轨迹的绘制方法。时滞系统的根轨迹不作要求。</w:t>
            </w:r>
          </w:p>
          <w:p w:rsidR="00A13195" w:rsidRDefault="00A13195" w:rsidP="00A13195">
            <w:pPr>
              <w:spacing w:line="360" w:lineRule="exact"/>
              <w:ind w:firstLineChars="200" w:firstLine="480"/>
              <w:rPr>
                <w:rFonts w:hAnsi="Arial"/>
                <w:kern w:val="0"/>
                <w:sz w:val="24"/>
              </w:rPr>
            </w:pPr>
            <w:r>
              <w:rPr>
                <w:rFonts w:hAnsi="Arial" w:hint="eastAsia"/>
                <w:kern w:val="0"/>
                <w:sz w:val="24"/>
              </w:rPr>
              <w:t>4</w:t>
            </w:r>
            <w:r>
              <w:rPr>
                <w:rFonts w:hAnsi="Arial" w:hint="eastAsia"/>
                <w:kern w:val="0"/>
                <w:sz w:val="24"/>
              </w:rPr>
              <w:t>、</w:t>
            </w:r>
            <w:r>
              <w:rPr>
                <w:rFonts w:hAnsi="Arial"/>
                <w:kern w:val="0"/>
                <w:sz w:val="24"/>
              </w:rPr>
              <w:t>控制系统的频域分析</w:t>
            </w:r>
            <w:r>
              <w:rPr>
                <w:rFonts w:hAnsi="Arial" w:hint="eastAsia"/>
                <w:kern w:val="0"/>
                <w:sz w:val="24"/>
              </w:rPr>
              <w:t>：</w:t>
            </w:r>
            <w:r>
              <w:rPr>
                <w:rFonts w:hAnsi="Arial"/>
                <w:kern w:val="0"/>
                <w:sz w:val="24"/>
              </w:rPr>
              <w:t>深刻理解开环频率特性和闭环频率特性的概念。掌握开、闭环频率特性性能指标的计算</w:t>
            </w:r>
            <w:r>
              <w:rPr>
                <w:rFonts w:hAnsi="Arial" w:hint="eastAsia"/>
                <w:kern w:val="0"/>
                <w:sz w:val="24"/>
              </w:rPr>
              <w:t>。</w:t>
            </w:r>
            <w:r>
              <w:rPr>
                <w:rFonts w:hAnsi="Arial"/>
                <w:kern w:val="0"/>
                <w:sz w:val="24"/>
              </w:rPr>
              <w:t>重点掌握</w:t>
            </w:r>
            <w:proofErr w:type="spellStart"/>
            <w:r>
              <w:rPr>
                <w:rFonts w:hAnsi="Arial"/>
                <w:kern w:val="0"/>
                <w:sz w:val="24"/>
              </w:rPr>
              <w:t>Nyquist</w:t>
            </w:r>
            <w:proofErr w:type="spellEnd"/>
            <w:r>
              <w:rPr>
                <w:rFonts w:hAnsi="Arial"/>
                <w:kern w:val="0"/>
                <w:sz w:val="24"/>
              </w:rPr>
              <w:t>稳定判据，</w:t>
            </w:r>
            <w:r>
              <w:rPr>
                <w:rFonts w:hAnsi="Arial"/>
                <w:kern w:val="0"/>
                <w:sz w:val="24"/>
              </w:rPr>
              <w:t>Bode</w:t>
            </w:r>
            <w:r>
              <w:rPr>
                <w:rFonts w:hAnsi="Arial"/>
                <w:kern w:val="0"/>
                <w:sz w:val="24"/>
              </w:rPr>
              <w:t>图的绘制及</w:t>
            </w:r>
            <w:r>
              <w:rPr>
                <w:rFonts w:hAnsi="Arial" w:hint="eastAsia"/>
                <w:kern w:val="0"/>
                <w:sz w:val="24"/>
              </w:rPr>
              <w:t>由</w:t>
            </w:r>
            <w:r>
              <w:rPr>
                <w:rFonts w:hAnsi="Arial"/>
                <w:kern w:val="0"/>
                <w:sz w:val="24"/>
              </w:rPr>
              <w:t>Bode</w:t>
            </w:r>
            <w:r>
              <w:rPr>
                <w:rFonts w:hAnsi="Arial"/>
                <w:kern w:val="0"/>
                <w:sz w:val="24"/>
              </w:rPr>
              <w:t>图</w:t>
            </w:r>
            <w:r>
              <w:rPr>
                <w:rFonts w:hAnsi="Arial" w:hint="eastAsia"/>
                <w:kern w:val="0"/>
                <w:sz w:val="24"/>
              </w:rPr>
              <w:t>求传递函数</w:t>
            </w:r>
            <w:r>
              <w:rPr>
                <w:rFonts w:hAnsi="Arial"/>
                <w:kern w:val="0"/>
                <w:sz w:val="24"/>
              </w:rPr>
              <w:t>，相角裕度、幅值裕度的计算。</w:t>
            </w:r>
            <w:r>
              <w:rPr>
                <w:rFonts w:hAnsi="Arial"/>
                <w:kern w:val="0"/>
                <w:sz w:val="24"/>
              </w:rPr>
              <w:t>Nichols</w:t>
            </w:r>
            <w:r>
              <w:rPr>
                <w:rFonts w:hAnsi="Arial"/>
                <w:kern w:val="0"/>
                <w:sz w:val="24"/>
              </w:rPr>
              <w:t>图线不作过多要求。</w:t>
            </w:r>
          </w:p>
          <w:p w:rsidR="00A13195" w:rsidRDefault="00A13195" w:rsidP="00A13195">
            <w:pPr>
              <w:spacing w:line="360" w:lineRule="exact"/>
              <w:ind w:firstLineChars="200" w:firstLine="480"/>
              <w:rPr>
                <w:rFonts w:hAnsi="Arial"/>
                <w:kern w:val="0"/>
                <w:sz w:val="24"/>
              </w:rPr>
            </w:pPr>
            <w:r>
              <w:rPr>
                <w:rFonts w:hAnsi="Arial" w:hint="eastAsia"/>
                <w:kern w:val="0"/>
                <w:sz w:val="24"/>
              </w:rPr>
              <w:t>5</w:t>
            </w:r>
            <w:r>
              <w:rPr>
                <w:rFonts w:hAnsi="Arial" w:hint="eastAsia"/>
                <w:kern w:val="0"/>
                <w:sz w:val="24"/>
              </w:rPr>
              <w:t>、</w:t>
            </w:r>
            <w:r>
              <w:rPr>
                <w:rFonts w:hAnsi="Arial"/>
                <w:kern w:val="0"/>
                <w:sz w:val="24"/>
              </w:rPr>
              <w:t>自动控制系统的校正</w:t>
            </w:r>
            <w:r>
              <w:rPr>
                <w:rFonts w:hAnsi="Arial" w:hint="eastAsia"/>
                <w:kern w:val="0"/>
                <w:sz w:val="24"/>
              </w:rPr>
              <w:t>：</w:t>
            </w:r>
            <w:r>
              <w:rPr>
                <w:rFonts w:hAnsi="Arial"/>
                <w:kern w:val="0"/>
                <w:sz w:val="24"/>
              </w:rPr>
              <w:t>了解控制系统校正的实质。掌握</w:t>
            </w:r>
            <w:r>
              <w:rPr>
                <w:rFonts w:hAnsi="Arial" w:hint="eastAsia"/>
                <w:kern w:val="0"/>
                <w:sz w:val="24"/>
              </w:rPr>
              <w:t>串联超前、滞后</w:t>
            </w:r>
            <w:r>
              <w:rPr>
                <w:rFonts w:hAnsi="Arial"/>
                <w:kern w:val="0"/>
                <w:sz w:val="24"/>
              </w:rPr>
              <w:t>校正装置的特性及校正方法。重点掌握用频率特性法确定串联校正装置参数的方法。反馈校正、前馈校正及复合</w:t>
            </w:r>
            <w:r>
              <w:rPr>
                <w:rFonts w:hAnsi="Arial" w:hint="eastAsia"/>
                <w:kern w:val="0"/>
                <w:sz w:val="24"/>
              </w:rPr>
              <w:t>校正</w:t>
            </w:r>
            <w:r>
              <w:rPr>
                <w:rFonts w:hAnsi="Arial"/>
                <w:kern w:val="0"/>
                <w:sz w:val="24"/>
              </w:rPr>
              <w:t>控制不作过多要求。</w:t>
            </w:r>
          </w:p>
          <w:p w:rsidR="00A13195" w:rsidRDefault="00A13195" w:rsidP="00A13195">
            <w:pPr>
              <w:spacing w:line="360" w:lineRule="exact"/>
              <w:ind w:firstLine="473"/>
              <w:rPr>
                <w:rFonts w:hAnsi="Arial"/>
                <w:kern w:val="0"/>
                <w:sz w:val="24"/>
              </w:rPr>
            </w:pPr>
            <w:r>
              <w:rPr>
                <w:rFonts w:hAnsi="Arial" w:hint="eastAsia"/>
                <w:kern w:val="0"/>
                <w:sz w:val="24"/>
              </w:rPr>
              <w:t>6</w:t>
            </w:r>
            <w:r>
              <w:rPr>
                <w:rFonts w:hAnsi="Arial" w:hint="eastAsia"/>
                <w:kern w:val="0"/>
                <w:sz w:val="24"/>
              </w:rPr>
              <w:t>、</w:t>
            </w:r>
            <w:r>
              <w:rPr>
                <w:rFonts w:hAnsi="Arial"/>
                <w:kern w:val="0"/>
                <w:sz w:val="24"/>
              </w:rPr>
              <w:t>采样控制系统</w:t>
            </w:r>
            <w:r>
              <w:rPr>
                <w:rFonts w:hAnsi="Arial" w:hint="eastAsia"/>
                <w:kern w:val="0"/>
                <w:sz w:val="24"/>
              </w:rPr>
              <w:t>：</w:t>
            </w:r>
            <w:r>
              <w:rPr>
                <w:rFonts w:hAnsi="Arial"/>
                <w:kern w:val="0"/>
                <w:sz w:val="24"/>
              </w:rPr>
              <w:t>深刻理解采样控制系统的基本概念、采样过程，采样定理。了解</w:t>
            </w:r>
            <w:r>
              <w:rPr>
                <w:rFonts w:hAnsi="Arial"/>
                <w:kern w:val="0"/>
                <w:sz w:val="24"/>
              </w:rPr>
              <w:t>Z</w:t>
            </w:r>
            <w:r>
              <w:rPr>
                <w:rFonts w:hAnsi="Arial"/>
                <w:kern w:val="0"/>
                <w:sz w:val="24"/>
              </w:rPr>
              <w:t>变换和</w:t>
            </w:r>
            <w:r>
              <w:rPr>
                <w:rFonts w:hAnsi="Arial"/>
                <w:kern w:val="0"/>
                <w:sz w:val="24"/>
              </w:rPr>
              <w:t>Z</w:t>
            </w:r>
            <w:r>
              <w:rPr>
                <w:rFonts w:hAnsi="Arial"/>
                <w:kern w:val="0"/>
                <w:sz w:val="24"/>
              </w:rPr>
              <w:t>反变换的过程，熟悉采样控制系统数学模型的表示方法。掌握采样系统的稳定性分析。掌握采样控制系统的</w:t>
            </w:r>
            <w:r>
              <w:rPr>
                <w:rFonts w:hAnsi="Arial" w:hint="eastAsia"/>
                <w:kern w:val="0"/>
                <w:sz w:val="24"/>
              </w:rPr>
              <w:t>稳态误差分析</w:t>
            </w:r>
            <w:r>
              <w:rPr>
                <w:rFonts w:hAnsi="Arial"/>
                <w:kern w:val="0"/>
                <w:sz w:val="24"/>
              </w:rPr>
              <w:t>。掌握采样控制系统的</w:t>
            </w:r>
            <w:r>
              <w:rPr>
                <w:rFonts w:hAnsi="Arial" w:hint="eastAsia"/>
                <w:kern w:val="0"/>
                <w:sz w:val="24"/>
              </w:rPr>
              <w:t>动态性能分析。</w:t>
            </w:r>
          </w:p>
          <w:p w:rsidR="00A13195" w:rsidRDefault="00A13195" w:rsidP="00A13195">
            <w:pPr>
              <w:adjustRightInd w:val="0"/>
              <w:snapToGrid w:val="0"/>
              <w:spacing w:line="360" w:lineRule="exact"/>
              <w:ind w:firstLineChars="200" w:firstLine="480"/>
              <w:rPr>
                <w:rFonts w:hAnsi="Arial"/>
                <w:kern w:val="0"/>
                <w:sz w:val="24"/>
              </w:rPr>
            </w:pPr>
            <w:r>
              <w:rPr>
                <w:rFonts w:hAnsi="Arial" w:hint="eastAsia"/>
                <w:kern w:val="0"/>
                <w:sz w:val="24"/>
              </w:rPr>
              <w:t>7</w:t>
            </w:r>
            <w:r>
              <w:rPr>
                <w:rFonts w:hAnsi="Arial" w:hint="eastAsia"/>
                <w:kern w:val="0"/>
                <w:sz w:val="24"/>
              </w:rPr>
              <w:t>、非线性</w:t>
            </w:r>
            <w:r>
              <w:rPr>
                <w:rFonts w:hAnsi="Arial"/>
                <w:kern w:val="0"/>
                <w:sz w:val="24"/>
              </w:rPr>
              <w:t>系统</w:t>
            </w:r>
            <w:r>
              <w:rPr>
                <w:rFonts w:hAnsi="Arial" w:hint="eastAsia"/>
                <w:kern w:val="0"/>
                <w:sz w:val="24"/>
              </w:rPr>
              <w:t>分析：掌握非线性系统常用的分析方法——描述函数法和相平面法的特点和应用范围；熟悉典型非线性特性的描述函数</w:t>
            </w:r>
            <w:proofErr w:type="gramStart"/>
            <w:r>
              <w:rPr>
                <w:rFonts w:hAnsi="Arial" w:hint="eastAsia"/>
                <w:kern w:val="0"/>
                <w:sz w:val="24"/>
              </w:rPr>
              <w:t>及其负倒描述函数</w:t>
            </w:r>
            <w:proofErr w:type="gramEnd"/>
            <w:r>
              <w:rPr>
                <w:rFonts w:hAnsi="Arial" w:hint="eastAsia"/>
                <w:kern w:val="0"/>
                <w:sz w:val="24"/>
              </w:rPr>
              <w:t>特性；掌握用描述函数法分析非线性系统的稳定性；掌握求取自激振荡点的振幅和频率的方法；掌握相轨迹的一般绘制方法。</w:t>
            </w:r>
          </w:p>
          <w:p w:rsidR="00A13195" w:rsidRDefault="00A13195" w:rsidP="00A13195">
            <w:pPr>
              <w:spacing w:line="360" w:lineRule="exact"/>
              <w:ind w:firstLineChars="200" w:firstLine="480"/>
              <w:rPr>
                <w:rFonts w:hAnsi="Arial"/>
                <w:kern w:val="0"/>
                <w:sz w:val="24"/>
              </w:rPr>
            </w:pPr>
            <w:r>
              <w:rPr>
                <w:rFonts w:hAnsi="Arial" w:hint="eastAsia"/>
                <w:kern w:val="0"/>
                <w:sz w:val="24"/>
              </w:rPr>
              <w:t>二</w:t>
            </w:r>
            <w:r>
              <w:rPr>
                <w:rFonts w:hAnsi="Arial"/>
                <w:kern w:val="0"/>
                <w:sz w:val="24"/>
              </w:rPr>
              <w:t>、现代控制理论部分</w:t>
            </w:r>
          </w:p>
          <w:p w:rsidR="00A13195" w:rsidRDefault="00A13195" w:rsidP="00A13195">
            <w:pPr>
              <w:spacing w:line="360" w:lineRule="exact"/>
              <w:ind w:firstLineChars="200" w:firstLine="480"/>
              <w:rPr>
                <w:rFonts w:hAnsi="Arial"/>
                <w:kern w:val="0"/>
                <w:sz w:val="24"/>
              </w:rPr>
            </w:pPr>
            <w:r>
              <w:rPr>
                <w:rFonts w:hAnsi="Arial" w:hint="eastAsia"/>
                <w:kern w:val="0"/>
                <w:sz w:val="24"/>
              </w:rPr>
              <w:t>1</w:t>
            </w:r>
            <w:r>
              <w:rPr>
                <w:rFonts w:hAnsi="Arial" w:hint="eastAsia"/>
                <w:kern w:val="0"/>
                <w:sz w:val="24"/>
              </w:rPr>
              <w:t>、线性系统的</w:t>
            </w:r>
            <w:r>
              <w:rPr>
                <w:rFonts w:hAnsi="Arial"/>
                <w:kern w:val="0"/>
                <w:sz w:val="24"/>
              </w:rPr>
              <w:t>状态</w:t>
            </w:r>
            <w:r>
              <w:rPr>
                <w:rFonts w:hAnsi="Arial" w:hint="eastAsia"/>
                <w:kern w:val="0"/>
                <w:sz w:val="24"/>
              </w:rPr>
              <w:t>空间描述：掌握状态空间描述的基本概念（</w:t>
            </w:r>
            <w:r>
              <w:rPr>
                <w:rFonts w:hAnsi="Arial"/>
                <w:kern w:val="0"/>
                <w:sz w:val="24"/>
              </w:rPr>
              <w:t>状态、状态方程、输出方程</w:t>
            </w:r>
            <w:r>
              <w:rPr>
                <w:rFonts w:hAnsi="Arial" w:hint="eastAsia"/>
                <w:kern w:val="0"/>
                <w:sz w:val="24"/>
              </w:rPr>
              <w:t>等）</w:t>
            </w:r>
            <w:r>
              <w:rPr>
                <w:rFonts w:hAnsi="Arial"/>
                <w:kern w:val="0"/>
                <w:sz w:val="24"/>
              </w:rPr>
              <w:t>。掌握</w:t>
            </w:r>
            <w:r>
              <w:rPr>
                <w:rFonts w:hAnsi="Arial" w:hint="eastAsia"/>
                <w:kern w:val="0"/>
                <w:sz w:val="24"/>
              </w:rPr>
              <w:t>建立系统状态空间模型的方法（根据系统机理建模、由系统微分方程建立状态空间表达式、由系统传递函数建立状态空间表达式、由系统结构图建立</w:t>
            </w:r>
            <w:r>
              <w:rPr>
                <w:rFonts w:hAnsi="Arial" w:hint="eastAsia"/>
                <w:kern w:val="0"/>
                <w:sz w:val="24"/>
              </w:rPr>
              <w:lastRenderedPageBreak/>
              <w:t>状态空间表达式）</w:t>
            </w:r>
            <w:r>
              <w:rPr>
                <w:rFonts w:hAnsi="Arial"/>
                <w:kern w:val="0"/>
                <w:sz w:val="24"/>
              </w:rPr>
              <w:t>。</w:t>
            </w:r>
            <w:r>
              <w:rPr>
                <w:rFonts w:hAnsi="Arial" w:hint="eastAsia"/>
                <w:kern w:val="0"/>
                <w:sz w:val="24"/>
              </w:rPr>
              <w:t>掌握</w:t>
            </w:r>
            <w:r>
              <w:rPr>
                <w:rFonts w:hAnsi="Arial"/>
                <w:kern w:val="0"/>
                <w:sz w:val="24"/>
              </w:rPr>
              <w:t>由状态模型求传递函数矩阵的方法。掌握由传递函数（矩阵）到状态模型的实现问题。掌握</w:t>
            </w:r>
            <w:r>
              <w:rPr>
                <w:rFonts w:hAnsi="Arial" w:hint="eastAsia"/>
                <w:kern w:val="0"/>
                <w:sz w:val="24"/>
              </w:rPr>
              <w:t>状态转移矩阵概念、求取方法及其应用。会求取状态方程的解。</w:t>
            </w:r>
          </w:p>
          <w:p w:rsidR="00A13195" w:rsidRDefault="00A13195" w:rsidP="00A13195">
            <w:pPr>
              <w:spacing w:line="360" w:lineRule="exact"/>
              <w:ind w:firstLineChars="200" w:firstLine="480"/>
              <w:rPr>
                <w:rFonts w:hAnsi="Arial"/>
                <w:kern w:val="0"/>
                <w:sz w:val="24"/>
              </w:rPr>
            </w:pPr>
            <w:r>
              <w:rPr>
                <w:rFonts w:hAnsi="Arial" w:hint="eastAsia"/>
                <w:kern w:val="0"/>
                <w:sz w:val="24"/>
              </w:rPr>
              <w:t>2</w:t>
            </w:r>
            <w:r>
              <w:rPr>
                <w:rFonts w:hAnsi="Arial" w:hint="eastAsia"/>
                <w:kern w:val="0"/>
                <w:sz w:val="24"/>
              </w:rPr>
              <w:t>、</w:t>
            </w:r>
            <w:r>
              <w:rPr>
                <w:rFonts w:hAnsi="Arial"/>
                <w:kern w:val="0"/>
                <w:sz w:val="24"/>
              </w:rPr>
              <w:t>控制系统的</w:t>
            </w:r>
            <w:proofErr w:type="gramStart"/>
            <w:r>
              <w:rPr>
                <w:rFonts w:hAnsi="Arial"/>
                <w:kern w:val="0"/>
                <w:sz w:val="24"/>
              </w:rPr>
              <w:t>能控性与</w:t>
            </w:r>
            <w:proofErr w:type="gramEnd"/>
            <w:r>
              <w:rPr>
                <w:rFonts w:hAnsi="Arial"/>
                <w:kern w:val="0"/>
                <w:sz w:val="24"/>
              </w:rPr>
              <w:t>能观性</w:t>
            </w:r>
            <w:r>
              <w:rPr>
                <w:rFonts w:hAnsi="Arial" w:hint="eastAsia"/>
                <w:kern w:val="0"/>
                <w:sz w:val="24"/>
              </w:rPr>
              <w:t>：</w:t>
            </w:r>
            <w:r>
              <w:rPr>
                <w:rFonts w:hAnsi="Arial"/>
                <w:kern w:val="0"/>
                <w:sz w:val="24"/>
              </w:rPr>
              <w:t>深刻理解能控性、</w:t>
            </w:r>
            <w:proofErr w:type="gramStart"/>
            <w:r>
              <w:rPr>
                <w:rFonts w:hAnsi="Arial"/>
                <w:kern w:val="0"/>
                <w:sz w:val="24"/>
              </w:rPr>
              <w:t>能观性的</w:t>
            </w:r>
            <w:proofErr w:type="gramEnd"/>
            <w:r>
              <w:rPr>
                <w:rFonts w:hAnsi="Arial"/>
                <w:kern w:val="0"/>
                <w:sz w:val="24"/>
              </w:rPr>
              <w:t>含义。</w:t>
            </w:r>
            <w:r>
              <w:rPr>
                <w:rFonts w:hAnsi="Arial" w:hint="eastAsia"/>
                <w:kern w:val="0"/>
                <w:sz w:val="24"/>
              </w:rPr>
              <w:t>掌握系统</w:t>
            </w:r>
            <w:r>
              <w:rPr>
                <w:rFonts w:hAnsi="Arial"/>
                <w:kern w:val="0"/>
                <w:sz w:val="24"/>
              </w:rPr>
              <w:t>能控性、</w:t>
            </w:r>
            <w:proofErr w:type="gramStart"/>
            <w:r>
              <w:rPr>
                <w:rFonts w:hAnsi="Arial"/>
                <w:kern w:val="0"/>
                <w:sz w:val="24"/>
              </w:rPr>
              <w:t>能观性的</w:t>
            </w:r>
            <w:proofErr w:type="gramEnd"/>
            <w:r>
              <w:rPr>
                <w:rFonts w:hAnsi="Arial"/>
                <w:kern w:val="0"/>
                <w:sz w:val="24"/>
              </w:rPr>
              <w:t>判别</w:t>
            </w:r>
            <w:r>
              <w:rPr>
                <w:rFonts w:hAnsi="Arial" w:hint="eastAsia"/>
                <w:kern w:val="0"/>
                <w:sz w:val="24"/>
              </w:rPr>
              <w:t>方法</w:t>
            </w:r>
            <w:r>
              <w:rPr>
                <w:rFonts w:hAnsi="Arial"/>
                <w:kern w:val="0"/>
                <w:sz w:val="24"/>
              </w:rPr>
              <w:t>，熟悉</w:t>
            </w:r>
            <w:proofErr w:type="gramStart"/>
            <w:r>
              <w:rPr>
                <w:rFonts w:hAnsi="Arial"/>
                <w:kern w:val="0"/>
                <w:sz w:val="24"/>
              </w:rPr>
              <w:t>能控性与能观性的</w:t>
            </w:r>
            <w:proofErr w:type="gramEnd"/>
            <w:r>
              <w:rPr>
                <w:rFonts w:hAnsi="Arial"/>
                <w:kern w:val="0"/>
                <w:sz w:val="24"/>
              </w:rPr>
              <w:t>对偶关系。</w:t>
            </w:r>
            <w:r>
              <w:rPr>
                <w:rFonts w:hAnsi="Arial" w:hint="eastAsia"/>
                <w:kern w:val="0"/>
                <w:sz w:val="24"/>
              </w:rPr>
              <w:t>了解</w:t>
            </w:r>
            <w:r>
              <w:rPr>
                <w:rFonts w:hAnsi="Arial"/>
                <w:kern w:val="0"/>
                <w:sz w:val="24"/>
              </w:rPr>
              <w:t>离散系统能控性、</w:t>
            </w:r>
            <w:proofErr w:type="gramStart"/>
            <w:r>
              <w:rPr>
                <w:rFonts w:hAnsi="Arial"/>
                <w:kern w:val="0"/>
                <w:sz w:val="24"/>
              </w:rPr>
              <w:t>能观性的</w:t>
            </w:r>
            <w:proofErr w:type="gramEnd"/>
            <w:r>
              <w:rPr>
                <w:rFonts w:hAnsi="Arial"/>
                <w:kern w:val="0"/>
                <w:sz w:val="24"/>
              </w:rPr>
              <w:t>判</w:t>
            </w:r>
            <w:r>
              <w:rPr>
                <w:rFonts w:hAnsi="Arial" w:hint="eastAsia"/>
                <w:kern w:val="0"/>
                <w:sz w:val="24"/>
              </w:rPr>
              <w:t>断</w:t>
            </w:r>
            <w:r>
              <w:rPr>
                <w:rFonts w:hAnsi="Arial"/>
                <w:kern w:val="0"/>
                <w:sz w:val="24"/>
              </w:rPr>
              <w:t>。掌握将状态方程化为能</w:t>
            </w:r>
            <w:proofErr w:type="gramStart"/>
            <w:r>
              <w:rPr>
                <w:rFonts w:hAnsi="Arial"/>
                <w:kern w:val="0"/>
                <w:sz w:val="24"/>
              </w:rPr>
              <w:t>控标准</w:t>
            </w:r>
            <w:proofErr w:type="gramEnd"/>
            <w:r>
              <w:rPr>
                <w:rFonts w:hAnsi="Arial"/>
                <w:kern w:val="0"/>
                <w:sz w:val="24"/>
              </w:rPr>
              <w:t>型、能</w:t>
            </w:r>
            <w:proofErr w:type="gramStart"/>
            <w:r>
              <w:rPr>
                <w:rFonts w:hAnsi="Arial"/>
                <w:kern w:val="0"/>
                <w:sz w:val="24"/>
              </w:rPr>
              <w:t>观标准</w:t>
            </w:r>
            <w:proofErr w:type="gramEnd"/>
            <w:r>
              <w:rPr>
                <w:rFonts w:hAnsi="Arial"/>
                <w:kern w:val="0"/>
                <w:sz w:val="24"/>
              </w:rPr>
              <w:t>型和约当标准型的方法。重点掌握线性连续定常系统各种</w:t>
            </w:r>
            <w:proofErr w:type="gramStart"/>
            <w:r>
              <w:rPr>
                <w:rFonts w:hAnsi="Arial"/>
                <w:kern w:val="0"/>
                <w:sz w:val="24"/>
              </w:rPr>
              <w:t>能控性与能观性判别</w:t>
            </w:r>
            <w:proofErr w:type="gramEnd"/>
            <w:r>
              <w:rPr>
                <w:rFonts w:hAnsi="Arial"/>
                <w:kern w:val="0"/>
                <w:sz w:val="24"/>
              </w:rPr>
              <w:t>准则及能控性、</w:t>
            </w:r>
            <w:proofErr w:type="gramStart"/>
            <w:r>
              <w:rPr>
                <w:rFonts w:hAnsi="Arial"/>
                <w:kern w:val="0"/>
                <w:sz w:val="24"/>
              </w:rPr>
              <w:t>能观性与</w:t>
            </w:r>
            <w:proofErr w:type="gramEnd"/>
            <w:r>
              <w:rPr>
                <w:rFonts w:hAnsi="Arial"/>
                <w:kern w:val="0"/>
                <w:sz w:val="24"/>
              </w:rPr>
              <w:t>传递函数零极点对消的关系。</w:t>
            </w:r>
            <w:r>
              <w:rPr>
                <w:rFonts w:hAnsi="Arial" w:hint="eastAsia"/>
                <w:kern w:val="0"/>
                <w:sz w:val="24"/>
              </w:rPr>
              <w:t>会将</w:t>
            </w:r>
            <w:r>
              <w:rPr>
                <w:rFonts w:hAnsi="Arial"/>
                <w:kern w:val="0"/>
                <w:sz w:val="24"/>
              </w:rPr>
              <w:t>线性定常系统</w:t>
            </w:r>
            <w:r>
              <w:rPr>
                <w:rFonts w:hAnsi="Arial" w:hint="eastAsia"/>
                <w:kern w:val="0"/>
                <w:sz w:val="24"/>
              </w:rPr>
              <w:t>进行</w:t>
            </w:r>
            <w:r>
              <w:rPr>
                <w:rFonts w:hAnsi="Arial"/>
                <w:kern w:val="0"/>
                <w:sz w:val="24"/>
              </w:rPr>
              <w:t>结构分解</w:t>
            </w:r>
            <w:r>
              <w:rPr>
                <w:rFonts w:hAnsi="Arial" w:hint="eastAsia"/>
                <w:kern w:val="0"/>
                <w:sz w:val="24"/>
              </w:rPr>
              <w:t>，了解最小实现的概念</w:t>
            </w:r>
            <w:r>
              <w:rPr>
                <w:rFonts w:hAnsi="Arial"/>
                <w:kern w:val="0"/>
                <w:sz w:val="24"/>
              </w:rPr>
              <w:t>。</w:t>
            </w:r>
          </w:p>
          <w:p w:rsidR="00A13195" w:rsidRDefault="00A13195" w:rsidP="00A13195">
            <w:pPr>
              <w:spacing w:line="360" w:lineRule="exact"/>
              <w:ind w:firstLineChars="200" w:firstLine="480"/>
              <w:rPr>
                <w:rFonts w:hAnsi="Arial"/>
                <w:kern w:val="0"/>
                <w:sz w:val="24"/>
              </w:rPr>
            </w:pPr>
            <w:r>
              <w:rPr>
                <w:rFonts w:hAnsi="Arial" w:hint="eastAsia"/>
                <w:kern w:val="0"/>
                <w:sz w:val="24"/>
              </w:rPr>
              <w:t>3</w:t>
            </w:r>
            <w:r>
              <w:rPr>
                <w:rFonts w:hAnsi="Arial" w:hint="eastAsia"/>
                <w:kern w:val="0"/>
                <w:sz w:val="24"/>
              </w:rPr>
              <w:t>、线性系统的</w:t>
            </w:r>
            <w:r>
              <w:rPr>
                <w:rFonts w:hAnsi="Arial"/>
                <w:kern w:val="0"/>
                <w:sz w:val="24"/>
              </w:rPr>
              <w:t>状态反馈和状态观测器</w:t>
            </w:r>
            <w:r>
              <w:rPr>
                <w:rFonts w:hAnsi="Arial" w:hint="eastAsia"/>
                <w:kern w:val="0"/>
                <w:sz w:val="24"/>
              </w:rPr>
              <w:t>：</w:t>
            </w:r>
            <w:r>
              <w:rPr>
                <w:rFonts w:hAnsi="Arial"/>
                <w:kern w:val="0"/>
                <w:sz w:val="24"/>
              </w:rPr>
              <w:t>理解有关状态反馈、输出反馈的含义。了解系统</w:t>
            </w:r>
            <w:proofErr w:type="gramStart"/>
            <w:r>
              <w:rPr>
                <w:rFonts w:hAnsi="Arial"/>
                <w:kern w:val="0"/>
                <w:sz w:val="24"/>
              </w:rPr>
              <w:t>镇定问题</w:t>
            </w:r>
            <w:proofErr w:type="gramEnd"/>
            <w:r>
              <w:rPr>
                <w:rFonts w:hAnsi="Arial"/>
                <w:kern w:val="0"/>
                <w:sz w:val="24"/>
              </w:rPr>
              <w:t>及带状态观测器的状态反馈系统设计问题。掌握状态观测器概念、存在条件以及状态（</w:t>
            </w:r>
            <w:r>
              <w:rPr>
                <w:rFonts w:hAnsi="Arial" w:hint="eastAsia"/>
                <w:kern w:val="0"/>
                <w:sz w:val="24"/>
              </w:rPr>
              <w:t>全</w:t>
            </w:r>
            <w:r>
              <w:rPr>
                <w:rFonts w:hAnsi="Arial"/>
                <w:kern w:val="0"/>
                <w:sz w:val="24"/>
              </w:rPr>
              <w:t>维）观测器的实现。重点掌握状态反馈任意极点配置的条件以及利用极点配置实现状态反馈的设计问题。</w:t>
            </w:r>
          </w:p>
          <w:p w:rsidR="004A489E" w:rsidRDefault="00A13195" w:rsidP="00A13195">
            <w:pPr>
              <w:ind w:firstLineChars="200" w:firstLine="480"/>
              <w:jc w:val="left"/>
            </w:pPr>
            <w:r>
              <w:rPr>
                <w:rFonts w:hAnsi="Arial" w:hint="eastAsia"/>
                <w:kern w:val="0"/>
                <w:sz w:val="24"/>
              </w:rPr>
              <w:t>4</w:t>
            </w:r>
            <w:r>
              <w:rPr>
                <w:rFonts w:hAnsi="Arial" w:hint="eastAsia"/>
                <w:kern w:val="0"/>
                <w:sz w:val="24"/>
              </w:rPr>
              <w:t>、</w:t>
            </w:r>
            <w:r>
              <w:rPr>
                <w:rFonts w:hAnsi="Arial"/>
                <w:kern w:val="0"/>
                <w:sz w:val="24"/>
              </w:rPr>
              <w:t>李亚普诺夫稳定性</w:t>
            </w:r>
            <w:r>
              <w:rPr>
                <w:rFonts w:hAnsi="Arial" w:hint="eastAsia"/>
                <w:kern w:val="0"/>
                <w:sz w:val="24"/>
              </w:rPr>
              <w:t>分析：</w:t>
            </w:r>
            <w:r>
              <w:rPr>
                <w:rFonts w:hAnsi="Arial"/>
                <w:kern w:val="0"/>
                <w:sz w:val="24"/>
              </w:rPr>
              <w:t>了解李亚普诺夫意义下稳定性、渐近稳定等定义。</w:t>
            </w:r>
            <w:r>
              <w:rPr>
                <w:rFonts w:hAnsi="Arial" w:hint="eastAsia"/>
                <w:kern w:val="0"/>
                <w:sz w:val="24"/>
              </w:rPr>
              <w:t>理</w:t>
            </w:r>
            <w:r>
              <w:rPr>
                <w:rFonts w:hAnsi="Arial"/>
                <w:kern w:val="0"/>
                <w:sz w:val="24"/>
              </w:rPr>
              <w:t>解李亚普诺夫第一方法的实质。</w:t>
            </w:r>
            <w:r>
              <w:rPr>
                <w:rFonts w:hAnsi="Arial" w:hint="eastAsia"/>
                <w:kern w:val="0"/>
                <w:sz w:val="24"/>
              </w:rPr>
              <w:t>掌握</w:t>
            </w:r>
            <w:r>
              <w:rPr>
                <w:rFonts w:hAnsi="Arial"/>
                <w:kern w:val="0"/>
                <w:sz w:val="24"/>
              </w:rPr>
              <w:t>李亚普诺夫第</w:t>
            </w:r>
            <w:r>
              <w:rPr>
                <w:rFonts w:hAnsi="Arial" w:hint="eastAsia"/>
                <w:kern w:val="0"/>
                <w:sz w:val="24"/>
              </w:rPr>
              <w:t>一</w:t>
            </w:r>
            <w:r>
              <w:rPr>
                <w:rFonts w:hAnsi="Arial"/>
                <w:kern w:val="0"/>
                <w:sz w:val="24"/>
              </w:rPr>
              <w:t>法。掌握李亚普诺夫第二法及能量函数的基本概念。掌握李亚普诺夫第二法在线性定常系统中的应用。</w:t>
            </w:r>
          </w:p>
        </w:tc>
      </w:tr>
      <w:tr w:rsidR="004A489E" w:rsidTr="00F41D56">
        <w:trPr>
          <w:trHeight w:val="381"/>
          <w:jc w:val="center"/>
        </w:trPr>
        <w:tc>
          <w:tcPr>
            <w:tcW w:w="9180" w:type="dxa"/>
            <w:gridSpan w:val="7"/>
            <w:vAlign w:val="center"/>
          </w:tcPr>
          <w:p w:rsidR="004A489E" w:rsidRDefault="004A489E">
            <w:pPr>
              <w:jc w:val="center"/>
              <w:rPr>
                <w:b/>
              </w:rPr>
            </w:pPr>
            <w:r>
              <w:rPr>
                <w:rFonts w:hint="eastAsia"/>
                <w:b/>
              </w:rPr>
              <w:lastRenderedPageBreak/>
              <w:t>试题结构：</w:t>
            </w:r>
          </w:p>
        </w:tc>
      </w:tr>
      <w:tr w:rsidR="004A489E" w:rsidTr="00F41D56">
        <w:trPr>
          <w:trHeight w:val="90"/>
          <w:jc w:val="center"/>
        </w:trPr>
        <w:tc>
          <w:tcPr>
            <w:tcW w:w="9180" w:type="dxa"/>
            <w:gridSpan w:val="7"/>
          </w:tcPr>
          <w:p w:rsidR="00A13195" w:rsidRDefault="00A13195">
            <w:pPr>
              <w:rPr>
                <w:rFonts w:hAnsi="Arial"/>
                <w:kern w:val="0"/>
                <w:sz w:val="24"/>
              </w:rPr>
            </w:pPr>
          </w:p>
          <w:p w:rsidR="00DA1874" w:rsidRDefault="00DA1874">
            <w:pPr>
              <w:rPr>
                <w:rFonts w:hAnsi="Arial"/>
                <w:kern w:val="0"/>
                <w:sz w:val="24"/>
              </w:rPr>
            </w:pPr>
          </w:p>
          <w:p w:rsidR="004A489E" w:rsidRDefault="00A13195">
            <w:pPr>
              <w:rPr>
                <w:sz w:val="24"/>
              </w:rPr>
            </w:pPr>
            <w:r>
              <w:rPr>
                <w:rFonts w:hAnsi="Arial" w:hint="eastAsia"/>
                <w:kern w:val="0"/>
                <w:sz w:val="24"/>
              </w:rPr>
              <w:t>计算题，共</w:t>
            </w:r>
            <w:r>
              <w:rPr>
                <w:rFonts w:hAnsi="Arial" w:hint="eastAsia"/>
                <w:kern w:val="0"/>
                <w:sz w:val="24"/>
              </w:rPr>
              <w:t>150</w:t>
            </w:r>
            <w:r>
              <w:rPr>
                <w:rFonts w:hAnsi="Arial" w:hint="eastAsia"/>
                <w:kern w:val="0"/>
                <w:sz w:val="24"/>
              </w:rPr>
              <w:t>分</w:t>
            </w:r>
          </w:p>
          <w:p w:rsidR="00F41D56" w:rsidRDefault="00F41D56">
            <w:pPr>
              <w:rPr>
                <w:sz w:val="24"/>
              </w:rPr>
            </w:pPr>
          </w:p>
          <w:p w:rsidR="00DA1874" w:rsidRDefault="00DA1874">
            <w:pPr>
              <w:rPr>
                <w:sz w:val="24"/>
              </w:rPr>
            </w:pPr>
          </w:p>
        </w:tc>
      </w:tr>
      <w:tr w:rsidR="004A489E" w:rsidTr="00F41D56">
        <w:trPr>
          <w:trHeight w:val="345"/>
          <w:jc w:val="center"/>
        </w:trPr>
        <w:tc>
          <w:tcPr>
            <w:tcW w:w="2340" w:type="dxa"/>
            <w:gridSpan w:val="2"/>
            <w:vAlign w:val="center"/>
          </w:tcPr>
          <w:p w:rsidR="004A489E" w:rsidRDefault="004A489E">
            <w:pPr>
              <w:jc w:val="center"/>
              <w:rPr>
                <w:b/>
              </w:rPr>
            </w:pPr>
            <w:r>
              <w:rPr>
                <w:rFonts w:hint="eastAsia"/>
                <w:b/>
              </w:rPr>
              <w:t>参考书目名称</w:t>
            </w:r>
          </w:p>
        </w:tc>
        <w:tc>
          <w:tcPr>
            <w:tcW w:w="1440" w:type="dxa"/>
            <w:vAlign w:val="center"/>
          </w:tcPr>
          <w:p w:rsidR="004A489E" w:rsidRDefault="004A489E">
            <w:pPr>
              <w:jc w:val="center"/>
              <w:rPr>
                <w:b/>
              </w:rPr>
            </w:pPr>
            <w:r>
              <w:rPr>
                <w:rFonts w:hint="eastAsia"/>
                <w:b/>
              </w:rPr>
              <w:t>编者</w:t>
            </w:r>
          </w:p>
        </w:tc>
        <w:tc>
          <w:tcPr>
            <w:tcW w:w="3420" w:type="dxa"/>
            <w:gridSpan w:val="2"/>
            <w:vAlign w:val="center"/>
          </w:tcPr>
          <w:p w:rsidR="004A489E" w:rsidRDefault="004A489E">
            <w:pPr>
              <w:jc w:val="center"/>
              <w:rPr>
                <w:b/>
              </w:rPr>
            </w:pPr>
            <w:r>
              <w:rPr>
                <w:rFonts w:hint="eastAsia"/>
                <w:b/>
              </w:rPr>
              <w:t>出版单位</w:t>
            </w:r>
          </w:p>
        </w:tc>
        <w:tc>
          <w:tcPr>
            <w:tcW w:w="900" w:type="dxa"/>
            <w:vAlign w:val="center"/>
          </w:tcPr>
          <w:p w:rsidR="004A489E" w:rsidRDefault="004A489E">
            <w:pPr>
              <w:jc w:val="center"/>
              <w:rPr>
                <w:b/>
              </w:rPr>
            </w:pPr>
            <w:r>
              <w:rPr>
                <w:rFonts w:hint="eastAsia"/>
                <w:b/>
              </w:rPr>
              <w:t>版次</w:t>
            </w:r>
          </w:p>
        </w:tc>
        <w:tc>
          <w:tcPr>
            <w:tcW w:w="1080" w:type="dxa"/>
            <w:vAlign w:val="center"/>
          </w:tcPr>
          <w:p w:rsidR="004A489E" w:rsidRDefault="004A489E">
            <w:pPr>
              <w:jc w:val="center"/>
              <w:rPr>
                <w:b/>
              </w:rPr>
            </w:pPr>
            <w:r>
              <w:rPr>
                <w:rFonts w:hint="eastAsia"/>
                <w:b/>
              </w:rPr>
              <w:t>年份</w:t>
            </w:r>
          </w:p>
        </w:tc>
      </w:tr>
      <w:tr w:rsidR="00DA1874" w:rsidTr="00F41D56">
        <w:trPr>
          <w:trHeight w:val="90"/>
          <w:jc w:val="center"/>
        </w:trPr>
        <w:tc>
          <w:tcPr>
            <w:tcW w:w="2340" w:type="dxa"/>
            <w:gridSpan w:val="2"/>
            <w:vAlign w:val="center"/>
          </w:tcPr>
          <w:p w:rsidR="00DA1874" w:rsidRDefault="00DA1874" w:rsidP="00294A4B">
            <w:r>
              <w:rPr>
                <w:rFonts w:hAnsi="Arial"/>
                <w:kern w:val="0"/>
                <w:szCs w:val="21"/>
              </w:rPr>
              <w:t>自动控制</w:t>
            </w:r>
            <w:r>
              <w:rPr>
                <w:rFonts w:hAnsi="Arial" w:hint="eastAsia"/>
                <w:kern w:val="0"/>
                <w:szCs w:val="21"/>
              </w:rPr>
              <w:t>原理</w:t>
            </w:r>
            <w:r>
              <w:rPr>
                <w:rFonts w:hAnsi="Arial"/>
                <w:kern w:val="0"/>
                <w:szCs w:val="21"/>
              </w:rPr>
              <w:t>（含现代控制理论）</w:t>
            </w:r>
          </w:p>
        </w:tc>
        <w:tc>
          <w:tcPr>
            <w:tcW w:w="1440" w:type="dxa"/>
            <w:vAlign w:val="center"/>
          </w:tcPr>
          <w:p w:rsidR="00DA1874" w:rsidRDefault="00DA1874" w:rsidP="00294A4B">
            <w:proofErr w:type="gramStart"/>
            <w:r>
              <w:rPr>
                <w:rFonts w:hAnsi="Arial"/>
                <w:kern w:val="0"/>
                <w:szCs w:val="21"/>
              </w:rPr>
              <w:t>胡寿松</w:t>
            </w:r>
            <w:proofErr w:type="gramEnd"/>
          </w:p>
        </w:tc>
        <w:tc>
          <w:tcPr>
            <w:tcW w:w="3420" w:type="dxa"/>
            <w:gridSpan w:val="2"/>
            <w:vAlign w:val="center"/>
          </w:tcPr>
          <w:p w:rsidR="00DA1874" w:rsidRDefault="00DA1874" w:rsidP="00294A4B">
            <w:r>
              <w:rPr>
                <w:rFonts w:hAnsi="Arial"/>
                <w:kern w:val="0"/>
                <w:szCs w:val="21"/>
              </w:rPr>
              <w:t>科学出版</w:t>
            </w:r>
            <w:r>
              <w:rPr>
                <w:rFonts w:hAnsi="Arial"/>
                <w:color w:val="000000"/>
                <w:kern w:val="0"/>
                <w:szCs w:val="21"/>
              </w:rPr>
              <w:t>社</w:t>
            </w:r>
          </w:p>
        </w:tc>
        <w:tc>
          <w:tcPr>
            <w:tcW w:w="900" w:type="dxa"/>
            <w:vAlign w:val="center"/>
          </w:tcPr>
          <w:p w:rsidR="00DA1874" w:rsidRDefault="00DA1874" w:rsidP="00294A4B">
            <w:r>
              <w:rPr>
                <w:rFonts w:ascii="宋体" w:hAnsi="宋体" w:hint="eastAsia"/>
              </w:rPr>
              <w:t>第六版</w:t>
            </w:r>
          </w:p>
        </w:tc>
        <w:tc>
          <w:tcPr>
            <w:tcW w:w="1080" w:type="dxa"/>
            <w:vAlign w:val="center"/>
          </w:tcPr>
          <w:p w:rsidR="00DA1874" w:rsidRDefault="00DA1874" w:rsidP="00294A4B">
            <w:r>
              <w:rPr>
                <w:color w:val="000000"/>
                <w:kern w:val="0"/>
                <w:szCs w:val="21"/>
              </w:rPr>
              <w:t>20</w:t>
            </w:r>
            <w:r>
              <w:rPr>
                <w:rFonts w:hint="eastAsia"/>
                <w:color w:val="000000"/>
                <w:kern w:val="0"/>
                <w:szCs w:val="21"/>
              </w:rPr>
              <w:t>13</w:t>
            </w:r>
            <w:r>
              <w:rPr>
                <w:rFonts w:hAnsi="Arial"/>
                <w:color w:val="000000"/>
                <w:kern w:val="0"/>
                <w:szCs w:val="21"/>
              </w:rPr>
              <w:t>年</w:t>
            </w:r>
          </w:p>
        </w:tc>
      </w:tr>
    </w:tbl>
    <w:p w:rsidR="004A489E" w:rsidRDefault="004A489E">
      <w:pPr>
        <w:rPr>
          <w:b/>
        </w:rPr>
      </w:pPr>
    </w:p>
    <w:sectPr w:rsidR="004A489E" w:rsidSect="00D51C45">
      <w:pgSz w:w="11906" w:h="16838"/>
      <w:pgMar w:top="1134" w:right="1797" w:bottom="113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1FF" w:rsidRDefault="007461FF" w:rsidP="00403422">
      <w:r>
        <w:separator/>
      </w:r>
    </w:p>
  </w:endnote>
  <w:endnote w:type="continuationSeparator" w:id="0">
    <w:p w:rsidR="007461FF" w:rsidRDefault="007461FF" w:rsidP="00403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1FF" w:rsidRDefault="007461FF" w:rsidP="00403422">
      <w:r>
        <w:separator/>
      </w:r>
    </w:p>
  </w:footnote>
  <w:footnote w:type="continuationSeparator" w:id="0">
    <w:p w:rsidR="007461FF" w:rsidRDefault="007461FF" w:rsidP="004034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D7B78"/>
    <w:rsid w:val="00004B70"/>
    <w:rsid w:val="00052F48"/>
    <w:rsid w:val="000662F9"/>
    <w:rsid w:val="000865D9"/>
    <w:rsid w:val="000B21F9"/>
    <w:rsid w:val="000B4152"/>
    <w:rsid w:val="00121A28"/>
    <w:rsid w:val="00173DE0"/>
    <w:rsid w:val="00180021"/>
    <w:rsid w:val="00186616"/>
    <w:rsid w:val="002210EF"/>
    <w:rsid w:val="002A77C5"/>
    <w:rsid w:val="003C1875"/>
    <w:rsid w:val="003C1AE3"/>
    <w:rsid w:val="003C7555"/>
    <w:rsid w:val="00403422"/>
    <w:rsid w:val="004A489E"/>
    <w:rsid w:val="004B24B0"/>
    <w:rsid w:val="0058303E"/>
    <w:rsid w:val="005928A5"/>
    <w:rsid w:val="00642231"/>
    <w:rsid w:val="00655A52"/>
    <w:rsid w:val="00672352"/>
    <w:rsid w:val="00703139"/>
    <w:rsid w:val="007461FF"/>
    <w:rsid w:val="007559C3"/>
    <w:rsid w:val="0077351E"/>
    <w:rsid w:val="00783817"/>
    <w:rsid w:val="007C11ED"/>
    <w:rsid w:val="007E5BE3"/>
    <w:rsid w:val="00813BCD"/>
    <w:rsid w:val="0082516D"/>
    <w:rsid w:val="00836B8F"/>
    <w:rsid w:val="008709C2"/>
    <w:rsid w:val="008825FF"/>
    <w:rsid w:val="008E56BC"/>
    <w:rsid w:val="008E65C4"/>
    <w:rsid w:val="009A2454"/>
    <w:rsid w:val="009D7B78"/>
    <w:rsid w:val="009F6609"/>
    <w:rsid w:val="00A13195"/>
    <w:rsid w:val="00A2028B"/>
    <w:rsid w:val="00A26C5B"/>
    <w:rsid w:val="00A37349"/>
    <w:rsid w:val="00AC111E"/>
    <w:rsid w:val="00B4087E"/>
    <w:rsid w:val="00B66561"/>
    <w:rsid w:val="00BA068A"/>
    <w:rsid w:val="00BA3773"/>
    <w:rsid w:val="00BC5CCF"/>
    <w:rsid w:val="00C80A07"/>
    <w:rsid w:val="00CF5C8A"/>
    <w:rsid w:val="00D47C45"/>
    <w:rsid w:val="00D51289"/>
    <w:rsid w:val="00D51C45"/>
    <w:rsid w:val="00D9687E"/>
    <w:rsid w:val="00DA1874"/>
    <w:rsid w:val="00E017C8"/>
    <w:rsid w:val="00E10948"/>
    <w:rsid w:val="00E76C0E"/>
    <w:rsid w:val="00EC0503"/>
    <w:rsid w:val="00F41D56"/>
    <w:rsid w:val="00F420AC"/>
    <w:rsid w:val="00F81D16"/>
    <w:rsid w:val="00FD502A"/>
    <w:rsid w:val="00FE30FB"/>
    <w:rsid w:val="00FF5D49"/>
    <w:rsid w:val="02F45E67"/>
    <w:rsid w:val="036D482C"/>
    <w:rsid w:val="03864D68"/>
    <w:rsid w:val="06B40F8F"/>
    <w:rsid w:val="0B591E2E"/>
    <w:rsid w:val="0B904506"/>
    <w:rsid w:val="0F924E67"/>
    <w:rsid w:val="10655CF3"/>
    <w:rsid w:val="19024013"/>
    <w:rsid w:val="1C9B12FC"/>
    <w:rsid w:val="1F730AA4"/>
    <w:rsid w:val="2C55584A"/>
    <w:rsid w:val="2C6B57F0"/>
    <w:rsid w:val="2D901D4F"/>
    <w:rsid w:val="2E6A74B4"/>
    <w:rsid w:val="2EFF3BF7"/>
    <w:rsid w:val="349C315B"/>
    <w:rsid w:val="373B05AC"/>
    <w:rsid w:val="3DAE0540"/>
    <w:rsid w:val="3FC06CA7"/>
    <w:rsid w:val="41321107"/>
    <w:rsid w:val="414E1341"/>
    <w:rsid w:val="42F06ADE"/>
    <w:rsid w:val="431B31A5"/>
    <w:rsid w:val="44D74780"/>
    <w:rsid w:val="4DEA5F62"/>
    <w:rsid w:val="52121BB5"/>
    <w:rsid w:val="54DF2FCC"/>
    <w:rsid w:val="584E3BED"/>
    <w:rsid w:val="5B7C3DA5"/>
    <w:rsid w:val="618C1A96"/>
    <w:rsid w:val="637F5749"/>
    <w:rsid w:val="66782EA9"/>
    <w:rsid w:val="67706CC4"/>
    <w:rsid w:val="6A9E6E7B"/>
    <w:rsid w:val="6C5164C2"/>
    <w:rsid w:val="71BE49AA"/>
    <w:rsid w:val="724C7A91"/>
    <w:rsid w:val="791E09E7"/>
    <w:rsid w:val="7AB03A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C4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D51C45"/>
    <w:rPr>
      <w:kern w:val="2"/>
      <w:sz w:val="18"/>
      <w:szCs w:val="18"/>
    </w:rPr>
  </w:style>
  <w:style w:type="character" w:customStyle="1" w:styleId="Char0">
    <w:name w:val="页脚 Char"/>
    <w:basedOn w:val="a0"/>
    <w:link w:val="a4"/>
    <w:rsid w:val="00D51C45"/>
    <w:rPr>
      <w:kern w:val="2"/>
      <w:sz w:val="18"/>
      <w:szCs w:val="18"/>
    </w:rPr>
  </w:style>
  <w:style w:type="paragraph" w:styleId="a5">
    <w:name w:val="Normal (Web)"/>
    <w:basedOn w:val="a"/>
    <w:rsid w:val="00D51C45"/>
    <w:pPr>
      <w:widowControl/>
      <w:spacing w:before="100" w:beforeAutospacing="1" w:after="100" w:afterAutospacing="1"/>
      <w:jc w:val="left"/>
    </w:pPr>
    <w:rPr>
      <w:kern w:val="0"/>
      <w:sz w:val="24"/>
    </w:rPr>
  </w:style>
  <w:style w:type="paragraph" w:styleId="a3">
    <w:name w:val="header"/>
    <w:basedOn w:val="a"/>
    <w:link w:val="Char"/>
    <w:rsid w:val="00D51C45"/>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rsid w:val="00D51C45"/>
    <w:pPr>
      <w:tabs>
        <w:tab w:val="center" w:pos="4153"/>
        <w:tab w:val="right" w:pos="8306"/>
      </w:tabs>
      <w:snapToGrid w:val="0"/>
      <w:jc w:val="left"/>
    </w:pPr>
    <w:rPr>
      <w:sz w:val="18"/>
      <w:szCs w:val="18"/>
    </w:rPr>
  </w:style>
  <w:style w:type="paragraph" w:styleId="a6">
    <w:name w:val="Balloon Text"/>
    <w:basedOn w:val="a"/>
    <w:semiHidden/>
    <w:rsid w:val="00D51C45"/>
    <w:rPr>
      <w:sz w:val="18"/>
      <w:szCs w:val="18"/>
    </w:rPr>
  </w:style>
  <w:style w:type="paragraph" w:customStyle="1" w:styleId="Char1">
    <w:name w:val="Char"/>
    <w:basedOn w:val="a"/>
    <w:rsid w:val="00D51C45"/>
    <w:pPr>
      <w:widowControl/>
      <w:spacing w:after="160" w:line="240" w:lineRule="exact"/>
      <w:jc w:val="left"/>
    </w:pPr>
    <w:rPr>
      <w:szCs w:val="21"/>
    </w:rPr>
  </w:style>
  <w:style w:type="paragraph" w:customStyle="1" w:styleId="ParaChar">
    <w:name w:val="默认段落字体 Para Char"/>
    <w:basedOn w:val="a"/>
    <w:rsid w:val="00D51C45"/>
    <w:pPr>
      <w:spacing w:beforeLines="50" w:afterLines="50"/>
      <w:jc w:val="left"/>
    </w:pPr>
    <w:rPr>
      <w:sz w:val="30"/>
      <w:szCs w:val="3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249</Words>
  <Characters>1424</Characters>
  <Application>Microsoft Office Word</Application>
  <DocSecurity>0</DocSecurity>
  <PresentationFormat/>
  <Lines>11</Lines>
  <Paragraphs>3</Paragraphs>
  <Slides>0</Slides>
  <Notes>0</Notes>
  <HiddenSlides>0</HiddenSlides>
  <MMClips>0</MMClips>
  <ScaleCrop>false</ScaleCrop>
  <Manager/>
  <Company>yjsc</Company>
  <LinksUpToDate>false</LinksUpToDate>
  <CharactersWithSpaces>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安徽农业大学</dc:title>
  <dc:subject/>
  <dc:creator>lp</dc:creator>
  <cp:keywords/>
  <dc:description/>
  <cp:lastModifiedBy>系统管理员</cp:lastModifiedBy>
  <cp:revision>3</cp:revision>
  <cp:lastPrinted>2018-04-25T01:54:00Z</cp:lastPrinted>
  <dcterms:created xsi:type="dcterms:W3CDTF">2019-07-02T11:11:00Z</dcterms:created>
  <dcterms:modified xsi:type="dcterms:W3CDTF">2019-07-02T11:13:00Z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