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宋体" w:eastAsia="黑体"/>
          <w:b/>
          <w:sz w:val="28"/>
        </w:rPr>
      </w:pPr>
      <w:r>
        <w:rPr>
          <w:rFonts w:hint="eastAsia" w:ascii="黑体" w:hAnsi="宋体" w:eastAsia="黑体"/>
          <w:b/>
          <w:sz w:val="28"/>
        </w:rPr>
        <w:t>2020年硕士研究生统一入学考试</w:t>
      </w:r>
    </w:p>
    <w:p>
      <w:pPr>
        <w:spacing w:line="440" w:lineRule="exact"/>
        <w:jc w:val="center"/>
        <w:rPr>
          <w:rFonts w:hint="eastAsia" w:ascii="宋体" w:hAnsi="宋体"/>
          <w:b/>
          <w:sz w:val="28"/>
        </w:rPr>
      </w:pPr>
      <w:r>
        <w:rPr>
          <w:rFonts w:hint="eastAsia" w:ascii="黑体" w:hAnsi="宋体" w:eastAsia="黑体"/>
          <w:b/>
          <w:sz w:val="28"/>
        </w:rPr>
        <w:t>《环境工程原理》</w:t>
      </w:r>
    </w:p>
    <w:p>
      <w:pPr>
        <w:spacing w:line="440" w:lineRule="exact"/>
        <w:jc w:val="center"/>
        <w:rPr>
          <w:rFonts w:hint="eastAsia" w:eastAsia="华文新魏"/>
          <w:b/>
          <w:sz w:val="28"/>
          <w:szCs w:val="28"/>
        </w:rPr>
      </w:pPr>
      <w:r>
        <w:rPr>
          <w:rFonts w:hint="eastAsia" w:eastAsia="华文新魏"/>
          <w:b/>
          <w:sz w:val="28"/>
          <w:szCs w:val="28"/>
        </w:rPr>
        <w:t>第一部分  考试说明</w:t>
      </w:r>
    </w:p>
    <w:p>
      <w:pPr>
        <w:numPr>
          <w:ilvl w:val="0"/>
          <w:numId w:val="1"/>
        </w:numPr>
        <w:spacing w:line="440" w:lineRule="exact"/>
        <w:rPr>
          <w:rFonts w:hint="eastAsia" w:eastAsia="黑体"/>
          <w:sz w:val="24"/>
        </w:rPr>
      </w:pPr>
      <w:r>
        <w:rPr>
          <w:rFonts w:hint="eastAsia" w:eastAsia="黑体"/>
          <w:sz w:val="24"/>
        </w:rPr>
        <w:t>考试性质</w:t>
      </w:r>
    </w:p>
    <w:p>
      <w:pPr>
        <w:pStyle w:val="2"/>
        <w:spacing w:line="480" w:lineRule="exact"/>
        <w:rPr>
          <w:rFonts w:hint="eastAsia"/>
        </w:rPr>
      </w:pPr>
      <w:r>
        <w:rPr>
          <w:rFonts w:hint="eastAsia" w:ascii="宋体" w:hAnsi="宋体"/>
          <w:szCs w:val="24"/>
        </w:rPr>
        <w:t>环境工程原理</w:t>
      </w:r>
      <w:r>
        <w:rPr>
          <w:rFonts w:hint="eastAsia"/>
        </w:rPr>
        <w:t>是东北大学资源与土木工程学院环境工程学术型硕士生和环境科学与环境工程专业硕士生入学选考的专业基础课之一。考试对象为参加东北大学资源与土木工程学院环境工程专业和环境科学与环境工程专业2020年全国硕士研究生入学考试的准考考生。</w:t>
      </w:r>
    </w:p>
    <w:p>
      <w:pPr>
        <w:spacing w:line="440" w:lineRule="exact"/>
        <w:ind w:firstLine="482"/>
        <w:rPr>
          <w:rFonts w:hint="eastAsia" w:eastAsia="黑体"/>
          <w:sz w:val="24"/>
        </w:rPr>
      </w:pPr>
      <w:r>
        <w:rPr>
          <w:rFonts w:hint="eastAsia" w:eastAsia="黑体"/>
          <w:sz w:val="24"/>
        </w:rPr>
        <w:t>二、考试形式与试卷结构</w:t>
      </w:r>
    </w:p>
    <w:p>
      <w:pPr>
        <w:spacing w:line="440" w:lineRule="exact"/>
        <w:ind w:firstLine="482"/>
        <w:rPr>
          <w:rFonts w:hint="eastAsia"/>
          <w:sz w:val="24"/>
        </w:rPr>
      </w:pPr>
      <w:r>
        <w:rPr>
          <w:rFonts w:hint="eastAsia"/>
          <w:sz w:val="24"/>
        </w:rPr>
        <w:t>（一）答卷方式：闭卷，笔试</w:t>
      </w:r>
    </w:p>
    <w:p>
      <w:pPr>
        <w:spacing w:line="440" w:lineRule="exact"/>
        <w:ind w:firstLine="482"/>
        <w:rPr>
          <w:rFonts w:hint="eastAsia"/>
          <w:sz w:val="24"/>
        </w:rPr>
      </w:pPr>
      <w:r>
        <w:rPr>
          <w:rFonts w:hint="eastAsia"/>
          <w:sz w:val="24"/>
        </w:rPr>
        <w:t>（二）答题时间：180分钟</w:t>
      </w:r>
    </w:p>
    <w:p>
      <w:pPr>
        <w:spacing w:line="440" w:lineRule="exact"/>
        <w:ind w:firstLine="482"/>
        <w:rPr>
          <w:rFonts w:hint="eastAsia"/>
          <w:sz w:val="24"/>
        </w:rPr>
      </w:pPr>
      <w:r>
        <w:rPr>
          <w:rFonts w:hint="eastAsia"/>
          <w:sz w:val="24"/>
        </w:rPr>
        <w:t>（三）考试题型及比例</w:t>
      </w:r>
      <w:r>
        <w:rPr>
          <w:rFonts w:hint="eastAsia" w:ascii="宋体" w:hAnsi="宋体"/>
          <w:color w:val="000000"/>
          <w:sz w:val="24"/>
          <w:lang w:val="en-US" w:eastAsia="zh-CN"/>
        </w:rPr>
        <w:t>(均为约占)</w:t>
      </w:r>
      <w:bookmarkStart w:id="0" w:name="_GoBack"/>
      <w:bookmarkEnd w:id="0"/>
    </w:p>
    <w:p>
      <w:pPr>
        <w:spacing w:line="440" w:lineRule="exact"/>
        <w:ind w:left="793" w:firstLine="482"/>
        <w:rPr>
          <w:sz w:val="24"/>
        </w:rPr>
      </w:pPr>
      <w:r>
        <w:rPr>
          <w:sz w:val="24"/>
        </w:rPr>
        <w:t>术语解释</w:t>
      </w:r>
      <w:r>
        <w:rPr>
          <w:sz w:val="24"/>
        </w:rPr>
        <w:tab/>
      </w:r>
      <w:r>
        <w:rPr>
          <w:sz w:val="24"/>
        </w:rPr>
        <w:tab/>
      </w:r>
      <w:r>
        <w:rPr>
          <w:sz w:val="24"/>
        </w:rPr>
        <w:tab/>
      </w:r>
      <w:r>
        <w:rPr>
          <w:sz w:val="24"/>
        </w:rPr>
        <w:t>20%</w:t>
      </w:r>
    </w:p>
    <w:p>
      <w:pPr>
        <w:spacing w:line="440" w:lineRule="exact"/>
        <w:ind w:left="793" w:firstLine="482"/>
        <w:rPr>
          <w:sz w:val="24"/>
        </w:rPr>
      </w:pPr>
      <w:r>
        <w:rPr>
          <w:sz w:val="24"/>
        </w:rPr>
        <w:t>简答题</w:t>
      </w:r>
      <w:r>
        <w:rPr>
          <w:sz w:val="24"/>
        </w:rPr>
        <w:tab/>
      </w:r>
      <w:r>
        <w:rPr>
          <w:sz w:val="24"/>
        </w:rPr>
        <w:tab/>
      </w:r>
      <w:r>
        <w:rPr>
          <w:sz w:val="24"/>
        </w:rPr>
        <w:tab/>
      </w:r>
      <w:r>
        <w:rPr>
          <w:sz w:val="24"/>
        </w:rPr>
        <w:tab/>
      </w:r>
      <w:r>
        <w:rPr>
          <w:sz w:val="24"/>
        </w:rPr>
        <w:t>30%</w:t>
      </w:r>
    </w:p>
    <w:p>
      <w:pPr>
        <w:spacing w:line="440" w:lineRule="exact"/>
        <w:ind w:left="793" w:firstLine="482"/>
        <w:rPr>
          <w:sz w:val="24"/>
        </w:rPr>
      </w:pPr>
      <w:r>
        <w:rPr>
          <w:sz w:val="24"/>
        </w:rPr>
        <w:t>论述题</w:t>
      </w:r>
      <w:r>
        <w:rPr>
          <w:sz w:val="24"/>
        </w:rPr>
        <w:tab/>
      </w:r>
      <w:r>
        <w:rPr>
          <w:sz w:val="24"/>
        </w:rPr>
        <w:tab/>
      </w:r>
      <w:r>
        <w:rPr>
          <w:sz w:val="24"/>
        </w:rPr>
        <w:tab/>
      </w:r>
      <w:r>
        <w:rPr>
          <w:sz w:val="24"/>
        </w:rPr>
        <w:tab/>
      </w:r>
      <w:r>
        <w:rPr>
          <w:sz w:val="24"/>
        </w:rPr>
        <w:t>30%</w:t>
      </w:r>
    </w:p>
    <w:p>
      <w:pPr>
        <w:spacing w:line="440" w:lineRule="exact"/>
        <w:ind w:left="793" w:firstLine="482"/>
        <w:rPr>
          <w:sz w:val="24"/>
        </w:rPr>
      </w:pPr>
      <w:r>
        <w:rPr>
          <w:sz w:val="24"/>
        </w:rPr>
        <w:t>计算题</w:t>
      </w:r>
      <w:r>
        <w:rPr>
          <w:sz w:val="24"/>
        </w:rPr>
        <w:tab/>
      </w:r>
      <w:r>
        <w:rPr>
          <w:sz w:val="24"/>
        </w:rPr>
        <w:tab/>
      </w:r>
      <w:r>
        <w:rPr>
          <w:sz w:val="24"/>
        </w:rPr>
        <w:tab/>
      </w:r>
      <w:r>
        <w:rPr>
          <w:sz w:val="24"/>
        </w:rPr>
        <w:tab/>
      </w:r>
      <w:r>
        <w:rPr>
          <w:sz w:val="24"/>
        </w:rPr>
        <w:t>20%</w:t>
      </w:r>
    </w:p>
    <w:p>
      <w:pPr>
        <w:spacing w:line="440" w:lineRule="exact"/>
        <w:ind w:firstLine="482"/>
        <w:rPr>
          <w:rFonts w:hint="eastAsia"/>
          <w:sz w:val="24"/>
        </w:rPr>
      </w:pPr>
      <w:r>
        <w:rPr>
          <w:rFonts w:hint="eastAsia"/>
          <w:sz w:val="24"/>
        </w:rPr>
        <w:t>（四）参考书目</w:t>
      </w:r>
    </w:p>
    <w:p>
      <w:pPr>
        <w:spacing w:line="440" w:lineRule="exact"/>
        <w:ind w:left="844" w:leftChars="402" w:firstLine="360" w:firstLineChars="150"/>
        <w:rPr>
          <w:rFonts w:hint="eastAsia" w:ascii="宋体" w:hAnsi="宋体"/>
          <w:sz w:val="24"/>
        </w:rPr>
      </w:pPr>
      <w:r>
        <w:rPr>
          <w:rFonts w:hint="eastAsia"/>
          <w:sz w:val="24"/>
        </w:rPr>
        <w:t>胡洪营，高等教育出版社，《环境工程原理》，2011年</w:t>
      </w:r>
      <w:r>
        <w:rPr>
          <w:rFonts w:hint="eastAsia" w:ascii="宋体" w:hAnsi="宋体"/>
          <w:sz w:val="24"/>
        </w:rPr>
        <w:t>。</w:t>
      </w:r>
    </w:p>
    <w:p>
      <w:pPr>
        <w:spacing w:line="440" w:lineRule="exact"/>
        <w:jc w:val="center"/>
        <w:rPr>
          <w:rFonts w:eastAsia="华文新魏"/>
          <w:b/>
          <w:sz w:val="28"/>
          <w:szCs w:val="28"/>
        </w:rPr>
      </w:pPr>
    </w:p>
    <w:p>
      <w:pPr>
        <w:spacing w:line="440" w:lineRule="exact"/>
        <w:jc w:val="center"/>
        <w:rPr>
          <w:rFonts w:hint="eastAsia" w:eastAsia="华文新魏"/>
          <w:b/>
          <w:sz w:val="28"/>
          <w:szCs w:val="28"/>
        </w:rPr>
      </w:pPr>
      <w:r>
        <w:rPr>
          <w:rFonts w:hint="eastAsia" w:eastAsia="华文新魏"/>
          <w:b/>
          <w:sz w:val="28"/>
          <w:szCs w:val="28"/>
        </w:rPr>
        <w:t>第二部分  考查要点</w:t>
      </w:r>
    </w:p>
    <w:p>
      <w:pPr>
        <w:spacing w:line="440" w:lineRule="exact"/>
        <w:ind w:firstLine="482"/>
        <w:rPr>
          <w:rFonts w:hint="eastAsia"/>
          <w:sz w:val="24"/>
        </w:rPr>
      </w:pPr>
      <w:r>
        <w:rPr>
          <w:rFonts w:hint="eastAsia"/>
          <w:sz w:val="24"/>
        </w:rPr>
        <w:t>本学科的考查要点包括：考查考生对环境工程原理基础知识的理解、掌握情况以及应用环境工程基本原理分析、解决环境污染治理工程中的实际问题的能力。</w:t>
      </w:r>
    </w:p>
    <w:p>
      <w:pPr>
        <w:spacing w:line="440" w:lineRule="exact"/>
        <w:outlineLvl w:val="0"/>
        <w:rPr>
          <w:rFonts w:hint="eastAsia"/>
          <w:sz w:val="24"/>
        </w:rPr>
      </w:pPr>
      <w:r>
        <w:rPr>
          <w:rFonts w:hint="eastAsia"/>
          <w:sz w:val="24"/>
        </w:rPr>
        <w:t>一、质量衡算与能量衡算</w:t>
      </w:r>
    </w:p>
    <w:p>
      <w:pPr>
        <w:spacing w:line="440" w:lineRule="exact"/>
        <w:ind w:firstLine="465"/>
        <w:rPr>
          <w:rFonts w:hint="eastAsia"/>
          <w:sz w:val="24"/>
        </w:rPr>
      </w:pPr>
      <w:r>
        <w:rPr>
          <w:rFonts w:hint="eastAsia"/>
          <w:sz w:val="24"/>
        </w:rPr>
        <w:t>质量衡算和能量衡算的方法及应用。</w:t>
      </w:r>
    </w:p>
    <w:p>
      <w:pPr>
        <w:spacing w:line="440" w:lineRule="exact"/>
        <w:outlineLvl w:val="0"/>
        <w:rPr>
          <w:rFonts w:hint="eastAsia"/>
          <w:sz w:val="24"/>
        </w:rPr>
      </w:pPr>
      <w:r>
        <w:rPr>
          <w:rFonts w:hint="eastAsia"/>
          <w:sz w:val="24"/>
        </w:rPr>
        <w:t>二、流体流动</w:t>
      </w:r>
    </w:p>
    <w:p>
      <w:pPr>
        <w:spacing w:line="440" w:lineRule="exact"/>
        <w:rPr>
          <w:rFonts w:hint="eastAsia"/>
          <w:sz w:val="24"/>
        </w:rPr>
      </w:pPr>
      <w:r>
        <w:rPr>
          <w:rFonts w:hint="eastAsia"/>
          <w:sz w:val="24"/>
        </w:rPr>
        <w:t xml:space="preserve">    管流系统的衡算方程、流体流动阻力计算、管路计算，流体测量的相关方法。</w:t>
      </w:r>
    </w:p>
    <w:p>
      <w:pPr>
        <w:spacing w:line="440" w:lineRule="exact"/>
        <w:outlineLvl w:val="0"/>
        <w:rPr>
          <w:rFonts w:hint="eastAsia"/>
          <w:sz w:val="24"/>
        </w:rPr>
      </w:pPr>
      <w:r>
        <w:rPr>
          <w:rFonts w:hint="eastAsia"/>
          <w:sz w:val="24"/>
        </w:rPr>
        <w:t>三、热量传递</w:t>
      </w:r>
    </w:p>
    <w:p>
      <w:pPr>
        <w:spacing w:line="440" w:lineRule="exact"/>
        <w:rPr>
          <w:rFonts w:hint="eastAsia"/>
          <w:sz w:val="24"/>
        </w:rPr>
      </w:pPr>
      <w:r>
        <w:rPr>
          <w:rFonts w:hint="eastAsia"/>
          <w:sz w:val="24"/>
        </w:rPr>
        <w:t xml:space="preserve">    热传递的方式，换热器和辐射传热的计算。</w:t>
      </w:r>
    </w:p>
    <w:p>
      <w:pPr>
        <w:spacing w:line="440" w:lineRule="exact"/>
        <w:outlineLvl w:val="0"/>
        <w:rPr>
          <w:rFonts w:hint="eastAsia"/>
          <w:sz w:val="24"/>
        </w:rPr>
      </w:pPr>
      <w:r>
        <w:rPr>
          <w:rFonts w:hint="eastAsia"/>
          <w:sz w:val="24"/>
        </w:rPr>
        <w:t>四、质量传递</w:t>
      </w:r>
    </w:p>
    <w:p>
      <w:pPr>
        <w:spacing w:line="440" w:lineRule="exact"/>
        <w:ind w:firstLine="465"/>
        <w:rPr>
          <w:rFonts w:hint="eastAsia"/>
          <w:sz w:val="24"/>
        </w:rPr>
      </w:pPr>
      <w:r>
        <w:rPr>
          <w:rFonts w:hint="eastAsia"/>
          <w:sz w:val="24"/>
        </w:rPr>
        <w:t>传质过程和质量传递的基本原理。</w:t>
      </w:r>
    </w:p>
    <w:p>
      <w:pPr>
        <w:spacing w:line="440" w:lineRule="exact"/>
        <w:outlineLvl w:val="0"/>
        <w:rPr>
          <w:rFonts w:hint="eastAsia"/>
          <w:sz w:val="24"/>
        </w:rPr>
      </w:pPr>
      <w:r>
        <w:rPr>
          <w:rFonts w:hint="eastAsia"/>
          <w:sz w:val="24"/>
        </w:rPr>
        <w:t>五、沉降</w:t>
      </w:r>
    </w:p>
    <w:p>
      <w:pPr>
        <w:spacing w:line="440" w:lineRule="exact"/>
        <w:ind w:firstLine="480"/>
        <w:rPr>
          <w:rFonts w:hint="eastAsia"/>
          <w:sz w:val="24"/>
        </w:rPr>
      </w:pPr>
      <w:r>
        <w:rPr>
          <w:rFonts w:hint="eastAsia"/>
          <w:sz w:val="24"/>
        </w:rPr>
        <w:t>沉降分离的基本方法和原理，重力沉降和离心沉降的计算。</w:t>
      </w:r>
    </w:p>
    <w:p>
      <w:pPr>
        <w:spacing w:line="440" w:lineRule="exact"/>
        <w:outlineLvl w:val="0"/>
        <w:rPr>
          <w:rFonts w:hint="eastAsia"/>
          <w:sz w:val="24"/>
        </w:rPr>
      </w:pPr>
      <w:r>
        <w:rPr>
          <w:rFonts w:hint="eastAsia"/>
          <w:sz w:val="24"/>
        </w:rPr>
        <w:t>六、过滤</w:t>
      </w:r>
    </w:p>
    <w:p>
      <w:pPr>
        <w:spacing w:line="440" w:lineRule="exact"/>
        <w:ind w:firstLine="480" w:firstLineChars="200"/>
        <w:rPr>
          <w:rFonts w:hint="eastAsia"/>
          <w:sz w:val="24"/>
        </w:rPr>
      </w:pPr>
      <w:r>
        <w:rPr>
          <w:rFonts w:hint="eastAsia"/>
          <w:sz w:val="24"/>
        </w:rPr>
        <w:t>过滤理论与应用。</w:t>
      </w:r>
    </w:p>
    <w:p>
      <w:pPr>
        <w:spacing w:line="440" w:lineRule="exact"/>
        <w:outlineLvl w:val="0"/>
        <w:rPr>
          <w:rFonts w:hint="eastAsia"/>
          <w:sz w:val="24"/>
        </w:rPr>
      </w:pPr>
      <w:r>
        <w:rPr>
          <w:rFonts w:hint="eastAsia"/>
          <w:sz w:val="24"/>
        </w:rPr>
        <w:t>七、吸收与吸附</w:t>
      </w:r>
    </w:p>
    <w:p>
      <w:pPr>
        <w:spacing w:line="440" w:lineRule="exact"/>
        <w:ind w:firstLine="480" w:firstLineChars="200"/>
        <w:rPr>
          <w:rFonts w:hint="eastAsia"/>
          <w:sz w:val="24"/>
        </w:rPr>
      </w:pPr>
      <w:r>
        <w:rPr>
          <w:rFonts w:hint="eastAsia"/>
          <w:sz w:val="24"/>
        </w:rPr>
        <w:t>吸收与吸附的基本概念、两者的异同以及吸收剂与吸附剂的选择，吸收与吸附设备的计算。</w:t>
      </w:r>
    </w:p>
    <w:p>
      <w:pPr>
        <w:spacing w:line="440" w:lineRule="exact"/>
        <w:outlineLvl w:val="0"/>
        <w:rPr>
          <w:rFonts w:hint="eastAsia"/>
          <w:sz w:val="24"/>
        </w:rPr>
      </w:pPr>
      <w:r>
        <w:rPr>
          <w:rFonts w:hint="eastAsia"/>
          <w:sz w:val="24"/>
        </w:rPr>
        <w:t>八、均相化学反应器</w:t>
      </w:r>
    </w:p>
    <w:p>
      <w:pPr>
        <w:spacing w:line="440" w:lineRule="exact"/>
        <w:ind w:firstLine="480" w:firstLineChars="200"/>
        <w:rPr>
          <w:rFonts w:hint="eastAsia"/>
          <w:sz w:val="24"/>
        </w:rPr>
      </w:pPr>
      <w:r>
        <w:rPr>
          <w:rFonts w:hint="eastAsia"/>
          <w:sz w:val="24"/>
        </w:rPr>
        <w:t>间歇与半间歇反应器、完全混合流连续反应器、平推流反应器的原理和相关计算。</w:t>
      </w:r>
    </w:p>
    <w:p>
      <w:pPr>
        <w:spacing w:line="440" w:lineRule="exact"/>
        <w:outlineLvl w:val="0"/>
        <w:rPr>
          <w:rFonts w:hint="eastAsia"/>
          <w:sz w:val="24"/>
        </w:rPr>
      </w:pPr>
      <w:r>
        <w:rPr>
          <w:rFonts w:hint="eastAsia"/>
          <w:sz w:val="24"/>
        </w:rPr>
        <w:t>九、非均相反应器</w:t>
      </w:r>
    </w:p>
    <w:p>
      <w:pPr>
        <w:spacing w:line="440" w:lineRule="exact"/>
        <w:ind w:firstLine="465"/>
        <w:rPr>
          <w:rFonts w:hint="eastAsia"/>
          <w:sz w:val="24"/>
        </w:rPr>
      </w:pPr>
      <w:r>
        <w:rPr>
          <w:rFonts w:hint="eastAsia"/>
          <w:sz w:val="24"/>
        </w:rPr>
        <w:t>固相催化反应器、气-液相反应器的原理及相关计算。</w:t>
      </w:r>
    </w:p>
    <w:p>
      <w:pPr>
        <w:spacing w:line="440" w:lineRule="exact"/>
        <w:outlineLvl w:val="0"/>
        <w:rPr>
          <w:rFonts w:hint="eastAsia"/>
          <w:sz w:val="24"/>
        </w:rPr>
      </w:pPr>
      <w:r>
        <w:rPr>
          <w:rFonts w:hint="eastAsia"/>
          <w:sz w:val="24"/>
        </w:rPr>
        <w:t>十、微生物反应器</w:t>
      </w:r>
    </w:p>
    <w:p>
      <w:pPr>
        <w:spacing w:line="440" w:lineRule="exact"/>
        <w:ind w:firstLine="480"/>
        <w:rPr>
          <w:rFonts w:hint="eastAsia"/>
          <w:sz w:val="24"/>
        </w:rPr>
      </w:pPr>
      <w:r>
        <w:rPr>
          <w:rFonts w:hint="eastAsia"/>
          <w:sz w:val="24"/>
        </w:rPr>
        <w:t>微生物反应的计量关系、微生物反应动力学、微生物反应器的选择与设计。</w:t>
      </w:r>
    </w:p>
    <w:p/>
    <w:p>
      <w:pPr>
        <w:widowControl/>
        <w:jc w:val="left"/>
      </w:pPr>
      <w:r>
        <w:br w:type="page"/>
      </w:r>
    </w:p>
    <w:p>
      <w:pPr>
        <w:rPr>
          <w:rFonts w:hint="eastAsia"/>
        </w:rPr>
      </w:pPr>
      <w:r>
        <w:rPr>
          <w:rFonts w:hint="eastAsia"/>
        </w:rPr>
        <w:t>样题：</w:t>
      </w:r>
    </w:p>
    <w:p>
      <w:pPr>
        <w:rPr>
          <w:rFonts w:hint="eastAsia"/>
        </w:rPr>
      </w:pPr>
      <w:r>
        <w:drawing>
          <wp:inline distT="0" distB="0" distL="0" distR="0">
            <wp:extent cx="5592445" cy="8524875"/>
            <wp:effectExtent l="19050" t="0" r="7892" b="0"/>
            <wp:docPr id="1" name="图片 1" descr="F:\扫描备份（全）\8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扫描备份（全）\850-1.jpg"/>
                    <pic:cNvPicPr>
                      <a:picLocks noChangeAspect="1" noChangeArrowheads="1"/>
                    </pic:cNvPicPr>
                  </pic:nvPicPr>
                  <pic:blipFill>
                    <a:blip r:embed="rId4"/>
                    <a:srcRect/>
                    <a:stretch>
                      <a:fillRect/>
                    </a:stretch>
                  </pic:blipFill>
                  <pic:spPr>
                    <a:xfrm>
                      <a:off x="0" y="0"/>
                      <a:ext cx="5593018" cy="8525195"/>
                    </a:xfrm>
                    <a:prstGeom prst="rect">
                      <a:avLst/>
                    </a:prstGeom>
                    <a:noFill/>
                    <a:ln w="9525">
                      <a:noFill/>
                      <a:miter lim="800000"/>
                      <a:headEnd/>
                      <a:tailEnd/>
                    </a:ln>
                  </pic:spPr>
                </pic:pic>
              </a:graphicData>
            </a:graphic>
          </wp:inline>
        </w:drawing>
      </w:r>
    </w:p>
    <w:p>
      <w:pPr>
        <w:widowControl/>
        <w:jc w:val="left"/>
      </w:pPr>
      <w:r>
        <w:br w:type="page"/>
      </w:r>
    </w:p>
    <w:p>
      <w:r>
        <w:drawing>
          <wp:inline distT="0" distB="0" distL="0" distR="0">
            <wp:extent cx="6282055" cy="8877300"/>
            <wp:effectExtent l="19050" t="0" r="4347" b="0"/>
            <wp:docPr id="2" name="图片 2" descr="F:\扫描备份（全）\8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扫描备份（全）\850-2.jpg"/>
                    <pic:cNvPicPr>
                      <a:picLocks noChangeAspect="1" noChangeArrowheads="1"/>
                    </pic:cNvPicPr>
                  </pic:nvPicPr>
                  <pic:blipFill>
                    <a:blip r:embed="rId5"/>
                    <a:srcRect/>
                    <a:stretch>
                      <a:fillRect/>
                    </a:stretch>
                  </pic:blipFill>
                  <pic:spPr>
                    <a:xfrm>
                      <a:off x="0" y="0"/>
                      <a:ext cx="6286006" cy="8882744"/>
                    </a:xfrm>
                    <a:prstGeom prst="rect">
                      <a:avLst/>
                    </a:prstGeom>
                    <a:noFill/>
                    <a:ln w="9525">
                      <a:noFill/>
                      <a:miter lim="800000"/>
                      <a:headEnd/>
                      <a:tailEnd/>
                    </a:ln>
                  </pic:spPr>
                </pic:pic>
              </a:graphicData>
            </a:graphic>
          </wp:inline>
        </w:drawing>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新魏">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35CD7"/>
    <w:multiLevelType w:val="multilevel"/>
    <w:tmpl w:val="24835CD7"/>
    <w:lvl w:ilvl="0" w:tentative="0">
      <w:start w:val="1"/>
      <w:numFmt w:val="japaneseCounting"/>
      <w:lvlText w:val="%1、"/>
      <w:lvlJc w:val="left"/>
      <w:pPr>
        <w:tabs>
          <w:tab w:val="left" w:pos="962"/>
        </w:tabs>
        <w:ind w:left="962" w:hanging="480"/>
      </w:pPr>
      <w:rPr>
        <w:rFonts w:hint="eastAsia"/>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01F54"/>
    <w:rsid w:val="0007453B"/>
    <w:rsid w:val="00192C1D"/>
    <w:rsid w:val="00501F54"/>
    <w:rsid w:val="4D990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0"/>
    <w:uiPriority w:val="0"/>
    <w:pPr>
      <w:spacing w:line="440" w:lineRule="atLeast"/>
      <w:ind w:firstLine="482"/>
    </w:pPr>
    <w:rPr>
      <w:sz w:val="24"/>
    </w:rPr>
  </w:style>
  <w:style w:type="paragraph" w:styleId="3">
    <w:name w:val="Balloon Text"/>
    <w:basedOn w:val="1"/>
    <w:link w:val="11"/>
    <w:semiHidden/>
    <w:unhideWhenUsed/>
    <w:uiPriority w:val="99"/>
    <w:rPr>
      <w:sz w:val="18"/>
      <w:szCs w:val="18"/>
    </w:rPr>
  </w:style>
  <w:style w:type="paragraph" w:styleId="4">
    <w:name w:val="footer"/>
    <w:basedOn w:val="1"/>
    <w:link w:val="9"/>
    <w:semiHidden/>
    <w:unhideWhenUsed/>
    <w:uiPriority w:val="99"/>
    <w:pPr>
      <w:tabs>
        <w:tab w:val="center" w:pos="4153"/>
        <w:tab w:val="right" w:pos="8306"/>
      </w:tabs>
      <w:snapToGrid w:val="0"/>
      <w:jc w:val="left"/>
    </w:pPr>
    <w:rPr>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uiPriority w:val="99"/>
    <w:rPr>
      <w:sz w:val="18"/>
      <w:szCs w:val="18"/>
    </w:rPr>
  </w:style>
  <w:style w:type="character" w:customStyle="1" w:styleId="9">
    <w:name w:val="页脚 Char"/>
    <w:basedOn w:val="6"/>
    <w:link w:val="4"/>
    <w:semiHidden/>
    <w:qFormat/>
    <w:uiPriority w:val="99"/>
    <w:rPr>
      <w:sz w:val="18"/>
      <w:szCs w:val="18"/>
    </w:rPr>
  </w:style>
  <w:style w:type="character" w:customStyle="1" w:styleId="10">
    <w:name w:val="正文文本缩进 Char"/>
    <w:basedOn w:val="6"/>
    <w:link w:val="2"/>
    <w:uiPriority w:val="0"/>
    <w:rPr>
      <w:rFonts w:ascii="Times New Roman" w:hAnsi="Times New Roman" w:eastAsia="宋体" w:cs="Times New Roman"/>
      <w:sz w:val="24"/>
      <w:szCs w:val="20"/>
    </w:rPr>
  </w:style>
  <w:style w:type="character" w:customStyle="1" w:styleId="11">
    <w:name w:val="批注框文本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109</Words>
  <Characters>627</Characters>
  <Lines>5</Lines>
  <Paragraphs>1</Paragraphs>
  <TotalTime>0</TotalTime>
  <ScaleCrop>false</ScaleCrop>
  <LinksUpToDate>false</LinksUpToDate>
  <CharactersWithSpaces>735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2019-09-10T07:15:00Z</dcterms:created>
  <dc:creator>lenovo</dc:creator>
  <cp:lastModifiedBy>Administrator</cp:lastModifiedBy>
  <dcterms:modified xsi:type="dcterms:W3CDTF">2019-09-20T01:19:13Z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