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168" w:beforeAutospacing="0" w:after="0" w:afterAutospacing="0"/>
        <w:jc w:val="center"/>
        <w:rPr>
          <w:rFonts w:ascii="黑体" w:hAnsi="黑体" w:eastAsia="黑体"/>
          <w:color w:val="333333"/>
          <w:sz w:val="44"/>
          <w:szCs w:val="44"/>
        </w:rPr>
      </w:pPr>
      <w:r>
        <w:rPr>
          <w:rStyle w:val="7"/>
          <w:rFonts w:hint="eastAsia" w:ascii="黑体" w:hAnsi="黑体" w:eastAsia="黑体"/>
          <w:color w:val="333333"/>
          <w:sz w:val="44"/>
          <w:szCs w:val="44"/>
        </w:rPr>
        <w:t>《普通化学》考试大纲</w:t>
      </w:r>
    </w:p>
    <w:p>
      <w:pPr>
        <w:pStyle w:val="5"/>
        <w:shd w:val="clear" w:color="auto" w:fill="FFFFFF"/>
        <w:spacing w:before="168" w:beforeAutospacing="0" w:after="0" w:afterAutospacing="0"/>
        <w:rPr>
          <w:rFonts w:ascii="黑体" w:hAnsi="黑体" w:eastAsia="黑体"/>
          <w:color w:val="333333"/>
          <w:sz w:val="30"/>
          <w:szCs w:val="30"/>
        </w:rPr>
      </w:pPr>
      <w:r>
        <w:rPr>
          <w:rFonts w:hint="eastAsia" w:ascii="黑体" w:hAnsi="黑体" w:eastAsia="黑体"/>
          <w:color w:val="333333"/>
        </w:rPr>
        <w:t>　</w:t>
      </w:r>
      <w:r>
        <w:rPr>
          <w:rStyle w:val="7"/>
          <w:rFonts w:hint="eastAsia" w:ascii="黑体" w:hAnsi="黑体" w:eastAsia="黑体"/>
          <w:color w:val="333333"/>
          <w:sz w:val="30"/>
          <w:szCs w:val="30"/>
        </w:rPr>
        <w:t xml:space="preserve">第一部分 </w:t>
      </w:r>
      <w:r>
        <w:rPr>
          <w:rStyle w:val="7"/>
          <w:rFonts w:hint="eastAsia" w:ascii="微软雅黑" w:hAnsi="微软雅黑" w:eastAsia="黑体"/>
          <w:color w:val="333333"/>
          <w:sz w:val="30"/>
          <w:szCs w:val="30"/>
        </w:rPr>
        <w:t> </w:t>
      </w:r>
      <w:r>
        <w:rPr>
          <w:rStyle w:val="7"/>
          <w:rFonts w:hint="eastAsia" w:ascii="黑体" w:hAnsi="黑体" w:eastAsia="黑体"/>
          <w:color w:val="333333"/>
          <w:sz w:val="30"/>
          <w:szCs w:val="30"/>
        </w:rPr>
        <w:t>考试说明</w:t>
      </w:r>
    </w:p>
    <w:p>
      <w:pPr>
        <w:pStyle w:val="5"/>
        <w:shd w:val="clear" w:color="auto" w:fill="FFFFFF"/>
        <w:spacing w:before="0" w:beforeAutospacing="0" w:after="0" w:afterAutospacing="0"/>
        <w:ind w:firstLine="281" w:firstLineChars="100"/>
        <w:rPr>
          <w:rFonts w:cs="Arial" w:asciiTheme="minorEastAsia" w:hAnsiTheme="minorEastAsia" w:eastAsiaTheme="minorEastAsia"/>
          <w:b/>
          <w:color w:val="333333"/>
          <w:kern w:val="2"/>
          <w:sz w:val="28"/>
          <w:szCs w:val="28"/>
        </w:rPr>
      </w:pPr>
      <w:r>
        <w:rPr>
          <w:rFonts w:hint="eastAsia" w:cs="Arial" w:asciiTheme="minorEastAsia" w:hAnsiTheme="minorEastAsia" w:eastAsiaTheme="minorEastAsia"/>
          <w:b/>
          <w:color w:val="333333"/>
          <w:kern w:val="2"/>
          <w:sz w:val="28"/>
          <w:szCs w:val="28"/>
        </w:rPr>
        <w:t>一、 考试性质</w:t>
      </w:r>
    </w:p>
    <w:p>
      <w:pPr>
        <w:pStyle w:val="5"/>
        <w:shd w:val="clear" w:color="auto" w:fill="FFFFFF"/>
        <w:spacing w:before="0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普通化学是环境科学与工程硕士研究生入学考试的专业基础课。考试对象为参加环境科学与工程专业20</w:t>
      </w:r>
      <w:r>
        <w:rPr>
          <w:rFonts w:hint="eastAsia" w:cs="Arial" w:asciiTheme="minorEastAsia" w:hAnsiTheme="minorEastAsia" w:eastAsiaTheme="minorEastAsia"/>
          <w:kern w:val="2"/>
          <w:lang w:val="en-US" w:eastAsia="zh-CN"/>
        </w:rPr>
        <w:t>20</w:t>
      </w:r>
      <w:r>
        <w:rPr>
          <w:rFonts w:hint="eastAsia" w:cs="Arial" w:asciiTheme="minorEastAsia" w:hAnsiTheme="minorEastAsia" w:eastAsiaTheme="minorEastAsia"/>
          <w:kern w:val="2"/>
        </w:rPr>
        <w:t>年全国硕士研究生入学考试的准考考生。</w:t>
      </w:r>
    </w:p>
    <w:p>
      <w:pPr>
        <w:pStyle w:val="5"/>
        <w:shd w:val="clear" w:color="auto" w:fill="FFFFFF"/>
        <w:spacing w:before="0" w:beforeAutospacing="0" w:after="0" w:afterAutospacing="0"/>
        <w:ind w:firstLine="275" w:firstLineChars="98"/>
        <w:rPr>
          <w:rFonts w:cs="Arial" w:asciiTheme="minorEastAsia" w:hAnsiTheme="minorEastAsia" w:eastAsiaTheme="minorEastAsia"/>
          <w:b/>
          <w:kern w:val="2"/>
          <w:sz w:val="28"/>
          <w:szCs w:val="28"/>
        </w:rPr>
      </w:pPr>
      <w:r>
        <w:rPr>
          <w:rFonts w:hint="eastAsia" w:cs="Arial" w:asciiTheme="minorEastAsia" w:hAnsiTheme="minorEastAsia" w:eastAsiaTheme="minorEastAsia"/>
          <w:b/>
          <w:kern w:val="2"/>
          <w:sz w:val="28"/>
          <w:szCs w:val="28"/>
        </w:rPr>
        <w:t>二、考试形式与试卷结构</w:t>
      </w:r>
    </w:p>
    <w:p>
      <w:pPr>
        <w:pStyle w:val="5"/>
        <w:shd w:val="clear" w:color="auto" w:fill="FFFFFF"/>
        <w:spacing w:before="0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（一）答卷方式：闭卷，笔试。</w:t>
      </w:r>
    </w:p>
    <w:p>
      <w:pPr>
        <w:pStyle w:val="5"/>
        <w:shd w:val="clear" w:color="auto" w:fill="FFFFFF"/>
        <w:spacing w:before="0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（二）答题时间：180分钟。</w:t>
      </w:r>
    </w:p>
    <w:p>
      <w:pPr>
        <w:pStyle w:val="5"/>
        <w:shd w:val="clear" w:color="auto" w:fill="FFFFFF"/>
        <w:spacing w:before="0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（三）考试题型及比例：</w:t>
      </w:r>
    </w:p>
    <w:p>
      <w:pPr>
        <w:pStyle w:val="5"/>
        <w:shd w:val="clear" w:color="auto" w:fill="FFFFFF"/>
        <w:spacing w:before="0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判断题：30%；简答题：20%；计算题：50%。</w:t>
      </w:r>
    </w:p>
    <w:p>
      <w:pPr>
        <w:pStyle w:val="5"/>
        <w:shd w:val="clear" w:color="auto" w:fill="FFFFFF"/>
        <w:spacing w:before="0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（四）参考书目</w:t>
      </w:r>
    </w:p>
    <w:p>
      <w:pPr>
        <w:pStyle w:val="5"/>
        <w:shd w:val="clear" w:color="auto" w:fill="FFFFFF"/>
        <w:spacing w:before="0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普通化学（第二版），马家举主编，化学工业出版社；2012.05。</w:t>
      </w:r>
    </w:p>
    <w:p>
      <w:pPr>
        <w:pStyle w:val="5"/>
        <w:shd w:val="clear" w:color="auto" w:fill="FFFFFF"/>
        <w:spacing w:before="0" w:beforeAutospacing="0" w:after="0" w:afterAutospacing="0"/>
        <w:rPr>
          <w:rStyle w:val="7"/>
          <w:rFonts w:ascii="黑体" w:hAnsi="黑体" w:eastAsia="黑体"/>
          <w:color w:val="333333"/>
          <w:sz w:val="30"/>
          <w:szCs w:val="30"/>
        </w:rPr>
      </w:pPr>
      <w:r>
        <w:rPr>
          <w:rStyle w:val="7"/>
          <w:rFonts w:hint="eastAsia" w:ascii="黑体" w:hAnsi="黑体" w:eastAsia="黑体"/>
          <w:color w:val="333333"/>
          <w:sz w:val="30"/>
          <w:szCs w:val="30"/>
        </w:rPr>
        <w:t>第二部分  考试要点</w:t>
      </w:r>
    </w:p>
    <w:p>
      <w:pPr>
        <w:pStyle w:val="5"/>
        <w:shd w:val="clear" w:color="auto" w:fill="FFFFFF"/>
        <w:spacing w:before="0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第一章 原子结构与分子结构</w:t>
      </w:r>
    </w:p>
    <w:p>
      <w:pPr>
        <w:pStyle w:val="5"/>
        <w:shd w:val="clear" w:color="auto" w:fill="FFFFFF"/>
        <w:spacing w:before="240" w:beforeAutospacing="0" w:after="0" w:afterAutospacing="0"/>
        <w:ind w:firstLine="480" w:firstLineChars="200"/>
        <w:rPr>
          <w:rFonts w:ascii="Verdana" w:hAnsi="Verdana"/>
          <w:shd w:val="clear" w:color="auto" w:fill="FFFFFF"/>
        </w:rPr>
      </w:pPr>
      <w:r>
        <w:rPr>
          <w:rFonts w:ascii="Verdana" w:hAnsi="Verdana"/>
          <w:shd w:val="clear" w:color="auto" w:fill="FFFFFF"/>
        </w:rPr>
        <w:t>波函数与原子轨道</w:t>
      </w:r>
      <w:r>
        <w:rPr>
          <w:rFonts w:hint="eastAsia" w:ascii="Verdana" w:hAnsi="Verdana"/>
        </w:rPr>
        <w:t>，</w:t>
      </w:r>
      <w:r>
        <w:rPr>
          <w:rFonts w:ascii="Verdana" w:hAnsi="Verdana"/>
          <w:shd w:val="clear" w:color="auto" w:fill="FFFFFF"/>
        </w:rPr>
        <w:t>电子云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量子数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电子原子结构和周期系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多电子原子轨道的能级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核外电子分布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基态原子中电子的分布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元素周期表</w:t>
      </w:r>
      <w:r>
        <w:rPr>
          <w:rFonts w:hint="eastAsia" w:ascii="Verdana" w:hAnsi="Verdana"/>
          <w:shd w:val="clear" w:color="auto" w:fill="FFFFFF"/>
        </w:rPr>
        <w:t>和</w:t>
      </w:r>
      <w:r>
        <w:rPr>
          <w:rFonts w:ascii="Verdana" w:hAnsi="Verdana"/>
          <w:shd w:val="clear" w:color="auto" w:fill="FFFFFF"/>
        </w:rPr>
        <w:t>元素性质的周期性变化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化学键的类型</w:t>
      </w:r>
      <w:r>
        <w:rPr>
          <w:rFonts w:hint="eastAsia" w:ascii="Verdana" w:hAnsi="Verdana"/>
          <w:shd w:val="clear" w:color="auto" w:fill="FFFFFF"/>
        </w:rPr>
        <w:t>和</w:t>
      </w:r>
      <w:r>
        <w:rPr>
          <w:rFonts w:ascii="Verdana" w:hAnsi="Verdana"/>
          <w:shd w:val="clear" w:color="auto" w:fill="FFFFFF"/>
        </w:rPr>
        <w:t>价键理论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杂化轨道理论与分子的空间构型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配位共价键与配位化合物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分子间的相互作用</w:t>
      </w:r>
      <w:r>
        <w:rPr>
          <w:rFonts w:hint="eastAsia" w:ascii="Verdana" w:hAnsi="Verdana"/>
          <w:shd w:val="clear" w:color="auto" w:fill="FFFFFF"/>
        </w:rPr>
        <w:t>。</w:t>
      </w:r>
    </w:p>
    <w:p>
      <w:pPr>
        <w:pStyle w:val="5"/>
        <w:shd w:val="clear" w:color="auto" w:fill="FFFFFF"/>
        <w:spacing w:before="240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第二章 物质的聚集状态</w:t>
      </w:r>
    </w:p>
    <w:p>
      <w:pPr>
        <w:pStyle w:val="5"/>
        <w:shd w:val="clear" w:color="auto" w:fill="FFFFFF"/>
        <w:spacing w:before="240" w:beforeAutospacing="0" w:after="0" w:afterAutospacing="0"/>
        <w:ind w:firstLine="480"/>
        <w:rPr>
          <w:rFonts w:ascii="Verdana" w:hAnsi="Verdana"/>
          <w:shd w:val="clear" w:color="auto" w:fill="FFFFFF"/>
        </w:rPr>
      </w:pPr>
      <w:r>
        <w:rPr>
          <w:rFonts w:ascii="Verdana" w:hAnsi="Verdana"/>
          <w:shd w:val="clear" w:color="auto" w:fill="FFFFFF"/>
        </w:rPr>
        <w:t>物质的聚集状态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相</w:t>
      </w:r>
      <w:r>
        <w:rPr>
          <w:rFonts w:hint="eastAsia" w:ascii="Verdana" w:hAnsi="Verdana"/>
        </w:rPr>
        <w:t>，</w:t>
      </w:r>
      <w:r>
        <w:rPr>
          <w:rFonts w:ascii="Verdana" w:hAnsi="Verdana"/>
          <w:shd w:val="clear" w:color="auto" w:fill="FFFFFF"/>
        </w:rPr>
        <w:t>理想气体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道尔顿分压定律</w:t>
      </w:r>
      <w:r>
        <w:rPr>
          <w:rFonts w:hint="eastAsia" w:ascii="Verdana" w:hAnsi="Verdana"/>
        </w:rPr>
        <w:t>，</w:t>
      </w:r>
      <w:r>
        <w:rPr>
          <w:rFonts w:ascii="Verdana" w:hAnsi="Verdana"/>
          <w:shd w:val="clear" w:color="auto" w:fill="FFFFFF"/>
        </w:rPr>
        <w:t>液体的蒸气</w:t>
      </w:r>
      <w:r>
        <w:rPr>
          <w:rFonts w:hint="eastAsia" w:ascii="Verdana" w:hAnsi="Verdana"/>
          <w:shd w:val="clear" w:color="auto" w:fill="FFFFFF"/>
        </w:rPr>
        <w:t>压和</w:t>
      </w:r>
      <w:r>
        <w:rPr>
          <w:rFonts w:ascii="Verdana" w:hAnsi="Verdana"/>
          <w:shd w:val="clear" w:color="auto" w:fill="FFFFFF"/>
        </w:rPr>
        <w:t>沸点</w:t>
      </w:r>
      <w:r>
        <w:rPr>
          <w:rFonts w:hint="eastAsia" w:ascii="Verdana" w:hAnsi="Verdana"/>
        </w:rPr>
        <w:t>，</w:t>
      </w:r>
      <w:r>
        <w:rPr>
          <w:rFonts w:ascii="Verdana" w:hAnsi="Verdana"/>
          <w:shd w:val="clear" w:color="auto" w:fill="FFFFFF"/>
        </w:rPr>
        <w:t>晶体与非晶体</w:t>
      </w:r>
      <w:r>
        <w:rPr>
          <w:rFonts w:hint="eastAsia" w:ascii="Verdana" w:hAnsi="Verdana"/>
        </w:rPr>
        <w:t>，</w:t>
      </w:r>
      <w:r>
        <w:rPr>
          <w:rFonts w:ascii="Verdana" w:hAnsi="Verdana"/>
          <w:shd w:val="clear" w:color="auto" w:fill="FFFFFF"/>
        </w:rPr>
        <w:t>离子键与离子晶体</w:t>
      </w:r>
      <w:r>
        <w:rPr>
          <w:rFonts w:hint="eastAsia" w:ascii="Verdana" w:hAnsi="Verdana"/>
        </w:rPr>
        <w:t>，</w:t>
      </w:r>
      <w:r>
        <w:rPr>
          <w:rFonts w:ascii="Verdana" w:hAnsi="Verdana"/>
          <w:shd w:val="clear" w:color="auto" w:fill="FFFFFF"/>
        </w:rPr>
        <w:t>原子晶体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分子晶体</w:t>
      </w:r>
      <w:r>
        <w:rPr>
          <w:rFonts w:hint="eastAsia" w:ascii="Verdana" w:hAnsi="Verdana"/>
        </w:rPr>
        <w:t>，</w:t>
      </w:r>
      <w:r>
        <w:rPr>
          <w:rFonts w:ascii="Verdana" w:hAnsi="Verdana"/>
          <w:shd w:val="clear" w:color="auto" w:fill="FFFFFF"/>
        </w:rPr>
        <w:t>金属键与金属晶体</w:t>
      </w:r>
      <w:r>
        <w:rPr>
          <w:rFonts w:hint="eastAsia" w:ascii="Verdana" w:hAnsi="Verdana"/>
          <w:shd w:val="clear" w:color="auto" w:fill="FFFFFF"/>
        </w:rPr>
        <w:t>。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</w:rPr>
        <w:t>第</w:t>
      </w:r>
      <w:r>
        <w:rPr>
          <w:rFonts w:hint="eastAsia" w:cs="Arial" w:asciiTheme="minorEastAsia" w:hAnsiTheme="minorEastAsia" w:eastAsiaTheme="minorEastAsia"/>
          <w:kern w:val="2"/>
        </w:rPr>
        <w:t>三章 化学热力学初步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ascii="Verdana" w:hAnsi="Verdana"/>
          <w:shd w:val="clear" w:color="auto" w:fill="FFFFFF"/>
        </w:rPr>
      </w:pPr>
      <w:r>
        <w:rPr>
          <w:rFonts w:ascii="Verdana" w:hAnsi="Verdana"/>
          <w:shd w:val="clear" w:color="auto" w:fill="FFFFFF"/>
        </w:rPr>
        <w:t>热力学第一定律</w:t>
      </w:r>
      <w:r>
        <w:rPr>
          <w:rFonts w:hint="eastAsia" w:ascii="Verdana" w:hAnsi="Verdana"/>
          <w:shd w:val="clear" w:color="auto" w:fill="FFFFFF"/>
        </w:rPr>
        <w:t>的</w:t>
      </w:r>
      <w:r>
        <w:rPr>
          <w:rFonts w:ascii="Verdana" w:hAnsi="Verdana"/>
          <w:shd w:val="clear" w:color="auto" w:fill="FFFFFF"/>
        </w:rPr>
        <w:t>基本概念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能量守恒定律</w:t>
      </w:r>
      <w:r>
        <w:rPr>
          <w:rFonts w:hint="eastAsia" w:ascii="Verdana" w:hAnsi="Verdana"/>
          <w:shd w:val="clear" w:color="auto" w:fill="FFFFFF"/>
        </w:rPr>
        <w:t>、</w:t>
      </w:r>
      <w:r>
        <w:rPr>
          <w:rFonts w:ascii="Verdana" w:hAnsi="Verdana"/>
          <w:shd w:val="clear" w:color="auto" w:fill="FFFFFF"/>
        </w:rPr>
        <w:t>等容热效应</w:t>
      </w:r>
      <w:r>
        <w:rPr>
          <w:rFonts w:hint="eastAsia" w:ascii="Verdana" w:hAnsi="Verdana"/>
          <w:shd w:val="clear" w:color="auto" w:fill="FFFFFF"/>
        </w:rPr>
        <w:t>和</w:t>
      </w:r>
      <w:r>
        <w:rPr>
          <w:rFonts w:ascii="Verdana" w:hAnsi="Verdana"/>
          <w:shd w:val="clear" w:color="auto" w:fill="FFFFFF"/>
        </w:rPr>
        <w:t>等压热效应</w:t>
      </w:r>
      <w:r>
        <w:rPr>
          <w:rFonts w:hint="eastAsia" w:ascii="Verdana" w:hAnsi="Verdana"/>
          <w:shd w:val="clear" w:color="auto" w:fill="FFFFFF"/>
        </w:rPr>
        <w:t>的基本概念，</w:t>
      </w:r>
      <w:r>
        <w:rPr>
          <w:rFonts w:ascii="Verdana" w:hAnsi="Verdana"/>
          <w:shd w:val="clear" w:color="auto" w:fill="FFFFFF"/>
        </w:rPr>
        <w:t>焓</w:t>
      </w:r>
      <w:r>
        <w:rPr>
          <w:rFonts w:hint="eastAsia" w:ascii="Verdana" w:hAnsi="Verdana"/>
          <w:shd w:val="clear" w:color="auto" w:fill="FFFFFF"/>
        </w:rPr>
        <w:t>的基本概念，</w:t>
      </w:r>
      <w:r>
        <w:rPr>
          <w:rFonts w:ascii="Verdana" w:hAnsi="Verdana"/>
          <w:shd w:val="clear" w:color="auto" w:fill="FFFFFF"/>
        </w:rPr>
        <w:t>热化学方程式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反应热的计算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自发过程的特点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焓变与自发过程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吉布斯函变与化学反应的方向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化学反应的限度——化学平衡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化学平衡与平衡常数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化学平衡的移动</w:t>
      </w:r>
      <w:r>
        <w:rPr>
          <w:rFonts w:hint="eastAsia" w:ascii="Verdana" w:hAnsi="Verdana"/>
        </w:rPr>
        <w:t>。</w:t>
      </w:r>
      <w:r>
        <w:rPr>
          <w:rFonts w:ascii="Verdana" w:hAnsi="Verdana"/>
          <w:shd w:val="clear" w:color="auto" w:fill="FFFFFF"/>
        </w:rPr>
        <w:t>　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第四章 水溶液与离子平衡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ascii="Verdana" w:hAnsi="Verdana"/>
          <w:shd w:val="clear" w:color="auto" w:fill="FFFFFF"/>
        </w:rPr>
        <w:t>稀溶液的依数性</w:t>
      </w:r>
      <w:r>
        <w:rPr>
          <w:rFonts w:hint="eastAsia" w:ascii="Verdana" w:hAnsi="Verdana"/>
          <w:shd w:val="clear" w:color="auto" w:fill="FFFFFF"/>
        </w:rPr>
        <w:t>（</w:t>
      </w:r>
      <w:r>
        <w:rPr>
          <w:rFonts w:ascii="Verdana" w:hAnsi="Verdana"/>
          <w:shd w:val="clear" w:color="auto" w:fill="FFFFFF"/>
        </w:rPr>
        <w:t>溶液的蒸气压下降</w:t>
      </w:r>
      <w:r>
        <w:rPr>
          <w:rFonts w:hint="eastAsia" w:ascii="Verdana" w:hAnsi="Verdana"/>
          <w:shd w:val="clear" w:color="auto" w:fill="FFFFFF"/>
        </w:rPr>
        <w:t>、</w:t>
      </w:r>
      <w:r>
        <w:rPr>
          <w:rFonts w:ascii="Verdana" w:hAnsi="Verdana"/>
          <w:shd w:val="clear" w:color="auto" w:fill="FFFFFF"/>
        </w:rPr>
        <w:t>溶液的凝固点下降和沸点上升</w:t>
      </w:r>
      <w:r>
        <w:rPr>
          <w:rFonts w:hint="eastAsia" w:ascii="Verdana" w:hAnsi="Verdana"/>
          <w:shd w:val="clear" w:color="auto" w:fill="FFFFFF"/>
        </w:rPr>
        <w:t>、</w:t>
      </w:r>
      <w:r>
        <w:rPr>
          <w:rFonts w:ascii="Verdana" w:hAnsi="Verdana"/>
          <w:shd w:val="clear" w:color="auto" w:fill="FFFFFF"/>
        </w:rPr>
        <w:t>溶液的渗透压</w:t>
      </w:r>
      <w:r>
        <w:rPr>
          <w:rFonts w:hint="eastAsia" w:ascii="Verdana" w:hAnsi="Verdana"/>
          <w:shd w:val="clear" w:color="auto" w:fill="FFFFFF"/>
        </w:rPr>
        <w:t>），</w:t>
      </w:r>
      <w:r>
        <w:rPr>
          <w:rFonts w:ascii="Verdana" w:hAnsi="Verdana"/>
          <w:shd w:val="clear" w:color="auto" w:fill="FFFFFF"/>
        </w:rPr>
        <w:t>酸碱质子理论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酸碱水溶液中pH的计算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多相离子平衡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溶度积规则及应用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配离子的稳定性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配离子平衡浓度的计算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含有配离子平衡的多重平衡</w:t>
      </w:r>
      <w:r>
        <w:rPr>
          <w:rFonts w:hint="eastAsia" w:ascii="Verdana" w:hAnsi="Verdana"/>
          <w:shd w:val="clear" w:color="auto" w:fill="FFFFFF"/>
        </w:rPr>
        <w:t>。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第五章 氧化还原反应与电化学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ascii="Verdana" w:hAnsi="Verdana"/>
          <w:shd w:val="clear" w:color="auto" w:fill="FFFFFF"/>
        </w:rPr>
        <w:t>原电池及其组成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原电池的半反应式与氧化还原反应方程式的配平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电池的表示方法——原电池符号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电极电势与电池电动势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电极电势的确定和标准电极电势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浓度对电极电势的影响——能斯特方程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电池电动势与吉布斯函数变的关系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电解池与原电池的异同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化学电源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ascii="Verdana" w:hAnsi="Verdana"/>
          <w:shd w:val="clear" w:color="auto" w:fill="FFFFFF"/>
        </w:rPr>
        <w:t>腐蚀电池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第六章 化学反应速率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</w:rPr>
      </w:pPr>
      <w:r>
        <w:rPr>
          <w:rFonts w:ascii="Verdana" w:hAnsi="Verdana"/>
          <w:shd w:val="clear" w:color="auto" w:fill="FFFFFF"/>
        </w:rPr>
        <w:t>化学反应速率及其表示方法</w:t>
      </w:r>
      <w:r>
        <w:rPr>
          <w:rFonts w:hint="eastAsia" w:ascii="Verdana" w:hAnsi="Verdana"/>
        </w:rPr>
        <w:t>，</w:t>
      </w:r>
      <w:r>
        <w:rPr>
          <w:rFonts w:ascii="Verdana" w:hAnsi="Verdana"/>
          <w:shd w:val="clear" w:color="auto" w:fill="FFFFFF"/>
        </w:rPr>
        <w:t>反应速率理论</w:t>
      </w:r>
      <w:r>
        <w:rPr>
          <w:rFonts w:hint="eastAsia" w:ascii="Verdana" w:hAnsi="Verdana"/>
          <w:shd w:val="clear" w:color="auto" w:fill="FFFFFF"/>
        </w:rPr>
        <w:t>，</w:t>
      </w:r>
      <w:r>
        <w:rPr>
          <w:rFonts w:cs="Arial" w:asciiTheme="minorEastAsia" w:hAnsiTheme="minorEastAsia" w:eastAsiaTheme="minorEastAsia"/>
        </w:rPr>
        <w:t>化学反应速率方程，反应速率常数，反应级数。浓度、温度、催化剂对化学反应速率的影响，阿仑尼乌斯方程式。催化剂与化学平衡。影响多相反应速率的因素。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第七章 分析方法及应用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第八章 单质与无机化合物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ascii="Arial" w:hAnsi="Arial" w:cs="Arial"/>
        </w:rPr>
        <w:t>金属元素的物理、化学性质通性。氧化物酸碱性。氯化物的水解性。金属元素及化合物的氧化还原性，重要盐类的性质。非金属单质和化合物的物理、化学性质。非金属元素含氧酸的酸性及其盐的氧化还原性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第九章 有机化合物（一般了解）；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  <w:r>
        <w:rPr>
          <w:rFonts w:hint="eastAsia" w:cs="Arial" w:asciiTheme="minorEastAsia" w:hAnsiTheme="minorEastAsia" w:eastAsiaTheme="minorEastAsia"/>
          <w:kern w:val="2"/>
        </w:rPr>
        <w:t>第十章 现代化学研究进展（一般了解）</w:t>
      </w:r>
      <w:r>
        <w:rPr>
          <w:rFonts w:hint="eastAsia" w:cs="Arial" w:asciiTheme="minorEastAsia" w:hAnsiTheme="minorEastAsia" w:eastAsiaTheme="minorEastAsia"/>
          <w:color w:val="333333"/>
          <w:kern w:val="2"/>
        </w:rPr>
        <w:t>。</w:t>
      </w: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cs="Arial" w:asciiTheme="minorEastAsia" w:hAnsiTheme="minorEastAsia" w:eastAsiaTheme="minorEastAsia"/>
          <w:color w:val="333333"/>
          <w:kern w:val="2"/>
        </w:rPr>
      </w:pPr>
    </w:p>
    <w:p>
      <w:pPr>
        <w:pStyle w:val="5"/>
        <w:shd w:val="clear" w:color="auto" w:fill="FFFFFF"/>
        <w:spacing w:before="168" w:beforeAutospacing="0" w:after="0" w:afterAutospacing="0"/>
        <w:ind w:firstLine="480"/>
        <w:rPr>
          <w:rFonts w:hint="eastAsia" w:cs="Arial" w:asciiTheme="minorEastAsia" w:hAnsiTheme="minorEastAsia" w:eastAsiaTheme="minorEastAsia"/>
          <w:color w:val="333333"/>
          <w:kern w:val="2"/>
          <w:lang w:eastAsia="zh-CN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lang w:eastAsia="zh-CN"/>
        </w:rPr>
        <w:t>样题：</w:t>
      </w:r>
      <w:bookmarkStart w:id="0" w:name="_GoBack"/>
      <w:bookmarkEnd w:id="0"/>
      <w:r>
        <w:rPr>
          <w:rFonts w:hint="eastAsia" w:cs="Arial" w:asciiTheme="minorEastAsia" w:hAnsiTheme="minorEastAsia" w:eastAsiaTheme="minorEastAsia"/>
          <w:color w:val="333333"/>
          <w:kern w:val="2"/>
          <w:lang w:eastAsia="zh-CN"/>
        </w:rPr>
        <w:drawing>
          <wp:inline distT="0" distB="0" distL="114300" distR="114300">
            <wp:extent cx="5267960" cy="7451725"/>
            <wp:effectExtent l="0" t="0" r="8890" b="15875"/>
            <wp:docPr id="4" name="图片 4" descr="83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31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 w:eastAsiaTheme="minorEastAsia"/>
          <w:color w:val="333333"/>
          <w:kern w:val="2"/>
          <w:lang w:eastAsia="zh-CN"/>
        </w:rPr>
        <w:drawing>
          <wp:inline distT="0" distB="0" distL="114300" distR="114300">
            <wp:extent cx="5271135" cy="7450455"/>
            <wp:effectExtent l="0" t="0" r="5715" b="17145"/>
            <wp:docPr id="5" name="图片 5" descr="83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31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 w:eastAsiaTheme="minorEastAsia"/>
          <w:color w:val="333333"/>
          <w:kern w:val="2"/>
          <w:lang w:eastAsia="zh-CN"/>
        </w:rPr>
        <w:drawing>
          <wp:inline distT="0" distB="0" distL="114300" distR="114300">
            <wp:extent cx="5271135" cy="7450455"/>
            <wp:effectExtent l="0" t="0" r="5715" b="17145"/>
            <wp:docPr id="6" name="图片 6" descr="83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31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 w:eastAsiaTheme="minorEastAsia"/>
          <w:color w:val="333333"/>
          <w:kern w:val="2"/>
          <w:lang w:eastAsia="zh-CN"/>
        </w:rPr>
        <w:drawing>
          <wp:inline distT="0" distB="0" distL="114300" distR="114300">
            <wp:extent cx="5271135" cy="7450455"/>
            <wp:effectExtent l="0" t="0" r="5715" b="17145"/>
            <wp:docPr id="7" name="图片 7" descr="831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31-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6856"/>
    <w:rsid w:val="000E35D1"/>
    <w:rsid w:val="000F42AD"/>
    <w:rsid w:val="00282F75"/>
    <w:rsid w:val="002A6856"/>
    <w:rsid w:val="002D72C7"/>
    <w:rsid w:val="00361865"/>
    <w:rsid w:val="003A1B0C"/>
    <w:rsid w:val="0044520D"/>
    <w:rsid w:val="00451508"/>
    <w:rsid w:val="00982F56"/>
    <w:rsid w:val="00AE4370"/>
    <w:rsid w:val="00BD2F4F"/>
    <w:rsid w:val="00C72E68"/>
    <w:rsid w:val="00C82533"/>
    <w:rsid w:val="00D96EDE"/>
    <w:rsid w:val="00F26266"/>
    <w:rsid w:val="2A883267"/>
    <w:rsid w:val="629C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apple-converted-space"/>
    <w:basedOn w:val="6"/>
    <w:qFormat/>
    <w:uiPriority w:val="0"/>
  </w:style>
  <w:style w:type="character" w:customStyle="1" w:styleId="12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2</Pages>
  <Words>164</Words>
  <Characters>936</Characters>
  <Lines>7</Lines>
  <Paragraphs>2</Paragraphs>
  <TotalTime>0</TotalTime>
  <ScaleCrop>false</ScaleCrop>
  <LinksUpToDate>false</LinksUpToDate>
  <CharactersWithSpaces>1098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2019-07-27T11:23:00Z</dcterms:created>
  <dc:creator>SkyUN.Org</dc:creator>
  <cp:lastModifiedBy>Administrator</cp:lastModifiedBy>
  <dcterms:modified xsi:type="dcterms:W3CDTF">2019-09-10T07:37:40Z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