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604" w:rsidRDefault="00156604">
      <w:pPr>
        <w:jc w:val="center"/>
        <w:rPr>
          <w:rFonts w:ascii="黑体" w:eastAsia="黑体"/>
          <w:color w:val="000000"/>
          <w:sz w:val="30"/>
        </w:rPr>
      </w:pPr>
      <w:r>
        <w:rPr>
          <w:rFonts w:ascii="黑体" w:eastAsia="黑体" w:hint="eastAsia"/>
          <w:color w:val="000000"/>
          <w:sz w:val="30"/>
        </w:rPr>
        <w:t>山东建筑大学</w:t>
      </w:r>
    </w:p>
    <w:p w:rsidR="00156604" w:rsidRDefault="00156604">
      <w:pPr>
        <w:jc w:val="center"/>
        <w:rPr>
          <w:rFonts w:ascii="黑体" w:eastAsia="黑体"/>
          <w:color w:val="000000"/>
          <w:sz w:val="30"/>
        </w:rPr>
      </w:pPr>
      <w:r>
        <w:rPr>
          <w:rFonts w:ascii="黑体" w:eastAsia="黑体" w:hint="eastAsia"/>
          <w:color w:val="000000"/>
          <w:sz w:val="30"/>
        </w:rPr>
        <w:t>研究生入学考试《民法学》考试大纲（复试）</w:t>
      </w:r>
    </w:p>
    <w:p w:rsidR="00156604" w:rsidRPr="00931171" w:rsidRDefault="00156604">
      <w:pPr>
        <w:spacing w:line="360" w:lineRule="auto"/>
        <w:rPr>
          <w:b/>
          <w:bCs/>
          <w:color w:val="000000"/>
          <w:sz w:val="24"/>
        </w:rPr>
      </w:pPr>
    </w:p>
    <w:p w:rsidR="00156604" w:rsidRDefault="00156604">
      <w:pPr>
        <w:spacing w:line="360" w:lineRule="auto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一、考试要求</w:t>
      </w:r>
    </w:p>
    <w:p w:rsidR="00156604" w:rsidRDefault="00156604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在考查民法学基本知识、基本理论的同时，注重考查考生运用学原理分析、解决问题的能力和运用法律语言的能力。考生应能：准确地再认或再现民法学的基本知识；正确理解和掌握民法学的重要概念、特征、内容和其法律规定；运用民法学原理解释和论证某些观点，明辨法理；结合社会生活背景或特定的法律现象，分析、评价有关案件、事件，找出运用法律知识解决实际问题的方法。</w:t>
      </w:r>
    </w:p>
    <w:p w:rsidR="00156604" w:rsidRDefault="00156604">
      <w:pPr>
        <w:pStyle w:val="NormalWeb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jc w:val="both"/>
        <w:rPr>
          <w:rFonts w:ascii="Times New Roman" w:hAnsi="Times New Roman"/>
          <w:b/>
          <w:bCs/>
          <w:color w:val="000000"/>
          <w:szCs w:val="22"/>
        </w:rPr>
      </w:pPr>
      <w:r>
        <w:rPr>
          <w:rFonts w:hint="eastAsia"/>
          <w:b/>
          <w:bCs/>
          <w:color w:val="000000"/>
        </w:rPr>
        <w:t>考试内容</w:t>
      </w:r>
    </w:p>
    <w:p w:rsidR="00156604" w:rsidRDefault="00156604">
      <w:pPr>
        <w:pStyle w:val="NormalWeb"/>
        <w:widowControl/>
        <w:shd w:val="clear" w:color="auto" w:fill="FFFFFF"/>
        <w:spacing w:beforeAutospacing="0" w:afterAutospacing="0" w:line="360" w:lineRule="auto"/>
        <w:jc w:val="both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第一章</w:t>
      </w:r>
      <w:r>
        <w:rPr>
          <w:rFonts w:ascii="Times New Roman" w:hAnsi="Times New Roman"/>
          <w:b/>
          <w:bCs/>
          <w:color w:val="000000"/>
          <w:szCs w:val="22"/>
        </w:rPr>
        <w:t xml:space="preserve">   </w:t>
      </w:r>
      <w:r>
        <w:rPr>
          <w:rFonts w:ascii="Times New Roman" w:hAnsi="Times New Roman" w:hint="eastAsia"/>
          <w:b/>
          <w:bCs/>
          <w:color w:val="000000"/>
          <w:szCs w:val="22"/>
        </w:rPr>
        <w:t>绪论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民法概述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一、民法的概念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二、民法的性质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三、民法的渊源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四、民法的解释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五、民法的适用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民法的调整对象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一、民法调整的人身关系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二、民法调整的财产关系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民法的基本原则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一、民法基本原则的概念和功能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二、平等原则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三、自愿原则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四、公平原则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五、诚实信用原则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六、合法原则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七、公序良俗原则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八、绿色原则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第二章</w:t>
      </w:r>
      <w:r>
        <w:rPr>
          <w:rFonts w:ascii="Times New Roman" w:hAnsi="Times New Roman"/>
          <w:b/>
          <w:bCs/>
          <w:color w:val="000000"/>
          <w:szCs w:val="22"/>
        </w:rPr>
        <w:t xml:space="preserve">   </w:t>
      </w:r>
      <w:r>
        <w:rPr>
          <w:rFonts w:ascii="Times New Roman" w:hAnsi="Times New Roman" w:hint="eastAsia"/>
          <w:b/>
          <w:bCs/>
          <w:color w:val="000000"/>
          <w:szCs w:val="22"/>
        </w:rPr>
        <w:t>民事法律关系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民事法律关系概述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一、民事法律关系的概念和特征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二、民事法律关系的分类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人身法律关系和财产法律关系；绝对法律关系和相对法律关系；物权关系和债权关系。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民事法律关系的要素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一、民事法律关系的主体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二、民事法律关系的内容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三、民事法律关系的客体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民事权利、民事义务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一、民事权利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民事权利的概念和特征；民事权利的公类；民事权利的行使；民事权利的保护。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二、民事义务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民事义务的概念和特征；民事义务的分类。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第四节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民事责任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一、民事责任的概念和特征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二、民事责任的分类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第五节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民事法律事实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一、民事法律事实的概念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二、民事法律事实的分类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行为；自然事实。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第三章</w:t>
      </w:r>
      <w:r>
        <w:rPr>
          <w:rFonts w:ascii="Times New Roman" w:hAnsi="Times New Roman"/>
          <w:b/>
          <w:bCs/>
          <w:color w:val="000000"/>
          <w:szCs w:val="22"/>
        </w:rPr>
        <w:t xml:space="preserve">   </w:t>
      </w:r>
      <w:r>
        <w:rPr>
          <w:rFonts w:ascii="Times New Roman" w:hAnsi="Times New Roman" w:hint="eastAsia"/>
          <w:b/>
          <w:bCs/>
          <w:color w:val="000000"/>
          <w:szCs w:val="22"/>
        </w:rPr>
        <w:t>自然人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自然人的民事权利能力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一、民事权利能力的概念和特征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二、自然人民事权利能力的开始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三、自然人民事权利能力的终止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自然人的民事行为能力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一、自然人民事行为能力的概念和特征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二、自然人民事行为能力的分类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完全民事行为能力；限制民事行为能力；无民事行为能力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三、自然人欠缺民事行为能力的认定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监护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一、监护的概念和作用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二、监护的分类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三、监护人的设定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四、监护人的职责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五、监护关系的终止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第四节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宣告失踪和宣告死亡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一、宣告失踪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宣告失踪的概念；宣告失踪的条件和程序；宣告失踪的后果；失踪宣告的撤销。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二、宣告死亡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宣告死亡的概念；宣告死亡的条件和程序；宣告死亡的后果；死亡宣告的撤销。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第五节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个体工商户、农村承包经营户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一、个体工商户的概念和特征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二、农村承包经营户的概念和特征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第四章</w:t>
      </w:r>
      <w:r>
        <w:rPr>
          <w:rFonts w:ascii="Times New Roman" w:hAnsi="Times New Roman"/>
          <w:b/>
          <w:bCs/>
          <w:color w:val="000000"/>
          <w:szCs w:val="22"/>
        </w:rPr>
        <w:t xml:space="preserve">  </w:t>
      </w:r>
      <w:r>
        <w:rPr>
          <w:rFonts w:ascii="Times New Roman" w:hAnsi="Times New Roman" w:hint="eastAsia"/>
          <w:b/>
          <w:bCs/>
          <w:color w:val="000000"/>
          <w:szCs w:val="22"/>
        </w:rPr>
        <w:t>法人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法人概述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一、法人的概念和特征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二、法人的分类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营利法人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一、营利法人的概念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二、营利法人的机构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三、营利法人出资人的责任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非营利法人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一、非营利法人的概念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二、非营利法人的类型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第四节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特别法人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一、特别法人的概念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二、特别法人的类型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第五节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法人的设立、变更和终止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一、法人的设立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二、法人的变更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三、法人的终止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第五章</w:t>
      </w:r>
      <w:r>
        <w:rPr>
          <w:rFonts w:ascii="Times New Roman" w:hAnsi="Times New Roman"/>
          <w:b/>
          <w:bCs/>
          <w:color w:val="000000"/>
          <w:szCs w:val="22"/>
        </w:rPr>
        <w:t xml:space="preserve">  </w:t>
      </w:r>
      <w:r>
        <w:rPr>
          <w:rFonts w:ascii="Times New Roman" w:hAnsi="Times New Roman" w:hint="eastAsia"/>
          <w:b/>
          <w:bCs/>
          <w:color w:val="000000"/>
          <w:szCs w:val="22"/>
        </w:rPr>
        <w:t>非法人组织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非法人组织概述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一、非法人组织的概念和特征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二、非法人组织的类型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合伙企业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一、合伙企业的概念和类型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二、普通合伙企业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普通合伙企业的概念；普通合伙企业的设立条件；普通合伙企业的事务执行；入伙与退伙；普通合伙企业的责任承担；特殊的普通合伙企业。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三、有限合伙企业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有限合伙企业的概念；有限合伙企业的设立条件；有限合伙企业的事务执行；入伙与退伙；有限合伙企业的责任承担。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第六章</w:t>
      </w:r>
      <w:r>
        <w:rPr>
          <w:rFonts w:ascii="Times New Roman" w:hAnsi="Times New Roman"/>
          <w:b/>
          <w:bCs/>
          <w:color w:val="000000"/>
          <w:szCs w:val="22"/>
        </w:rPr>
        <w:t xml:space="preserve">   </w:t>
      </w:r>
      <w:r>
        <w:rPr>
          <w:rFonts w:ascii="Times New Roman" w:hAnsi="Times New Roman" w:hint="eastAsia"/>
          <w:b/>
          <w:bCs/>
          <w:color w:val="000000"/>
          <w:szCs w:val="22"/>
        </w:rPr>
        <w:t>民事法律行为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民事法律行为概述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一、民事法律行为的概念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二、民事法律行为的特征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民事法律行为的分类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一、单方行为、双方行为和多方行为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二、单务行为和双务行为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三、有偿行为和无偿行为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四、诺成性行为和实践性行为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五、要式行为和不要式行为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六、主行为和从行为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七、有因行为和无因行为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八、负担行为和处分行为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意思表示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一、意思表示的概念和特征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二、意思表示的形式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三、意思表示的生效和撤回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四、意思表示的解释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第六节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可撤销的民事法律行为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一、可撤销的民事法律行为的概念和特征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二、可撤销的民事法律行为的情形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三、可撤销的民事法律行为与无效的民事法律行为的区别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第七节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效力特定的民事法律行为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一、效力待定的民事法律行为的概念和特征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二、效力待定的民事法律行为的情形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三、效力待定的民事法律行为的法律后果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第八节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附条件和附期限的民事法律行为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一、附条件的民事法律行为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二、附期限的民事法律行为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b/>
          <w:bCs/>
          <w:color w:val="000000"/>
          <w:szCs w:val="22"/>
        </w:rPr>
        <w:t>第七章</w:t>
      </w:r>
      <w:r>
        <w:rPr>
          <w:rFonts w:ascii="Times New Roman" w:hAnsi="Times New Roman"/>
          <w:b/>
          <w:bCs/>
          <w:color w:val="000000"/>
          <w:szCs w:val="22"/>
        </w:rPr>
        <w:t xml:space="preserve">  </w:t>
      </w:r>
      <w:r>
        <w:rPr>
          <w:rFonts w:ascii="Times New Roman" w:hAnsi="Times New Roman" w:hint="eastAsia"/>
          <w:b/>
          <w:bCs/>
          <w:color w:val="000000"/>
          <w:szCs w:val="22"/>
        </w:rPr>
        <w:t>代理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代理概述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一、代理的概念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二、代理的特征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三、代理的适用范围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代理的分类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一、委托代理和法定代理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二、本代理和复代理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三、直接代理和间接代理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代理权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一、代理权的概念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二、代理权的产生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三、代理权的行使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第四节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无权代理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一、无权代理的概念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二、无权代理的效力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三、表见代理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表见代理的概念；表见代理的构成条件；常见的表见代理情形；表见代理的法律后果。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第五节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代理终止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一、委托代理的终止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二、法定代理的终止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第八章</w:t>
      </w:r>
      <w:r>
        <w:rPr>
          <w:rFonts w:ascii="Times New Roman" w:hAnsi="Times New Roman"/>
          <w:b/>
          <w:bCs/>
          <w:color w:val="000000"/>
          <w:szCs w:val="22"/>
        </w:rPr>
        <w:t xml:space="preserve">  </w:t>
      </w:r>
      <w:r>
        <w:rPr>
          <w:rFonts w:ascii="Times New Roman" w:hAnsi="Times New Roman" w:hint="eastAsia"/>
          <w:b/>
          <w:bCs/>
          <w:color w:val="000000"/>
          <w:szCs w:val="22"/>
        </w:rPr>
        <w:t>诉讼时效与期间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诉讼时效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一、时效概述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二、诉讼时效的概念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三、诉讼时效的适用范围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四、诉讼时效的类型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五、诉讼时效期间的起算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六、诉讼时效的中止、中断和延长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诉讼时效的中止；诉讼时效的中断；诉讼时效的延长。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七、诉讼时效和除斥期间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期间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一、期间的概念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二、期间的类型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三、期间的计算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第九章</w:t>
      </w:r>
      <w:r>
        <w:rPr>
          <w:rFonts w:ascii="Times New Roman" w:hAnsi="Times New Roman"/>
          <w:b/>
          <w:bCs/>
          <w:color w:val="000000"/>
          <w:szCs w:val="22"/>
        </w:rPr>
        <w:t xml:space="preserve">  </w:t>
      </w:r>
      <w:r>
        <w:rPr>
          <w:rFonts w:ascii="Times New Roman" w:hAnsi="Times New Roman" w:hint="eastAsia"/>
          <w:b/>
          <w:bCs/>
          <w:color w:val="000000"/>
          <w:szCs w:val="22"/>
        </w:rPr>
        <w:t>人身权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人身权概述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一、人身权的概念和特征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二、人身权的种类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人格权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一、人格权的概念和特征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二、一般人格权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三、具体人格权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生命权；身体权；健康权；姓名权；名称权；肖像权；名誉权；隐私权；荣誉权；婚姻自主权。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身份权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一、身份权的概念和特征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二、身份权的类型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第十章</w:t>
      </w:r>
      <w:r>
        <w:rPr>
          <w:rFonts w:ascii="Times New Roman" w:hAnsi="Times New Roman"/>
          <w:b/>
          <w:bCs/>
          <w:color w:val="000000"/>
          <w:szCs w:val="22"/>
        </w:rPr>
        <w:t xml:space="preserve">  </w:t>
      </w:r>
      <w:r>
        <w:rPr>
          <w:rFonts w:ascii="Times New Roman" w:hAnsi="Times New Roman" w:hint="eastAsia"/>
          <w:b/>
          <w:bCs/>
          <w:color w:val="000000"/>
          <w:szCs w:val="22"/>
        </w:rPr>
        <w:t>物权法概述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物权概述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一、物权的概念和特征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二、物权的分类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物权法的基本原则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一、平等保护原则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二、物权客体特定原则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三、物权法定原则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四、公示、公信原则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物权的变动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一、物权变动概述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二、物权变动的模式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三、不动产物权的变动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四、动产物权的变动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第四节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不动产登记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一、不动产登记的概念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二、不动产登记的类型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三、不动产登记的效力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四、不动产登记错误的责任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第五节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物权的保护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一、确认物权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二、返还原物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三、排除妨害、消除危险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四、恢复原状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五、损害赔偿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第十一章</w:t>
      </w:r>
      <w:r>
        <w:rPr>
          <w:rFonts w:ascii="Times New Roman" w:hAnsi="Times New Roman"/>
          <w:b/>
          <w:bCs/>
          <w:color w:val="000000"/>
          <w:szCs w:val="22"/>
        </w:rPr>
        <w:t xml:space="preserve">  </w:t>
      </w:r>
      <w:r>
        <w:rPr>
          <w:rFonts w:ascii="Times New Roman" w:hAnsi="Times New Roman" w:hint="eastAsia"/>
          <w:b/>
          <w:bCs/>
          <w:color w:val="000000"/>
          <w:szCs w:val="22"/>
        </w:rPr>
        <w:t>所有权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所有权概述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一、所有权的概念和特征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二、所有权的分类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三、所有权的权能和限制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四、所有权的取得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共有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一、共有的概念和特征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二、按份共有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三、共同共有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建筑物区分所有权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一、建筑物区分所有权的概念和特征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二、建筑物区分所有权的内容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第四节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相邻关系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一、相邻关系的概念和特征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二、相邻关系的处理原则和依据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三、几种主要的相邻关系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相邻不动产通行或利用关系；相邻用水、排水关系；相邻通风、采光和日照关系；相邻不可量物侵害防免关系。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第十二章</w:t>
      </w:r>
      <w:r>
        <w:rPr>
          <w:rFonts w:ascii="Times New Roman" w:hAnsi="Times New Roman"/>
          <w:b/>
          <w:bCs/>
          <w:color w:val="000000"/>
          <w:szCs w:val="22"/>
        </w:rPr>
        <w:t xml:space="preserve">  </w:t>
      </w:r>
      <w:r>
        <w:rPr>
          <w:rFonts w:ascii="Times New Roman" w:hAnsi="Times New Roman" w:hint="eastAsia"/>
          <w:b/>
          <w:bCs/>
          <w:color w:val="000000"/>
          <w:szCs w:val="22"/>
        </w:rPr>
        <w:t>用益物权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用益物权概述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一、用益物权的概念和特征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二、用益物权的种类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土地承包经营权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一、土地承包经营权的概念和特征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二、土地承包经营权的设立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三、土地承包经营权的内容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建设用地使用权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一、建设用地使用权的概念和特征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二、建设用地使用权的设立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三、建设用地使用权的内容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第四节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宅基地使用权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一、宅基地使用权的概念和特征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二、宅基地使用权的设立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三、宅基地使用权的内容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第五节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地役权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一、地役权的概念和特征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二、地役权的设立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三、地役权的内容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第十三章</w:t>
      </w:r>
      <w:r>
        <w:rPr>
          <w:rFonts w:ascii="Times New Roman" w:hAnsi="Times New Roman"/>
          <w:b/>
          <w:bCs/>
          <w:color w:val="000000"/>
          <w:szCs w:val="22"/>
        </w:rPr>
        <w:t xml:space="preserve">  </w:t>
      </w:r>
      <w:r>
        <w:rPr>
          <w:rFonts w:ascii="Times New Roman" w:hAnsi="Times New Roman" w:hint="eastAsia"/>
          <w:b/>
          <w:bCs/>
          <w:color w:val="000000"/>
          <w:szCs w:val="22"/>
        </w:rPr>
        <w:t>担保物权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担保物权概述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一、担保物权的概念和特征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二、担保物权的分类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三、担保物权的消灭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抵押权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一、抵押权的概念和特征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二、抵押权的设立</w:t>
      </w:r>
      <w:r>
        <w:rPr>
          <w:rFonts w:ascii="Times New Roman" w:hAnsi="Times New Roman"/>
          <w:color w:val="000000"/>
          <w:szCs w:val="22"/>
        </w:rPr>
        <w:t>t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三、抵押权的效力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四、抵押权的顺位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五、抵押权的实现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六、特殊抵押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质权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一、质权的概念和特征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二、动产质权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三、权利质权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第四节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留置权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一、留置权的概念和特征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二、留置权的成立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三、留置权的效力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四、留置权的实现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五、留置权的消灭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第十四章</w:t>
      </w:r>
      <w:r>
        <w:rPr>
          <w:rFonts w:ascii="Times New Roman" w:hAnsi="Times New Roman"/>
          <w:b/>
          <w:bCs/>
          <w:color w:val="000000"/>
          <w:szCs w:val="22"/>
        </w:rPr>
        <w:t xml:space="preserve">   </w:t>
      </w:r>
      <w:r>
        <w:rPr>
          <w:rFonts w:ascii="Times New Roman" w:hAnsi="Times New Roman" w:hint="eastAsia"/>
          <w:b/>
          <w:bCs/>
          <w:color w:val="000000"/>
          <w:szCs w:val="22"/>
        </w:rPr>
        <w:t>占有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占有概述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一、占有的概念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二、占有的分类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占有的效力和保护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一、占有的效力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二、占有的保护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第十五章</w:t>
      </w:r>
      <w:r>
        <w:rPr>
          <w:rFonts w:ascii="Times New Roman" w:hAnsi="Times New Roman"/>
          <w:b/>
          <w:bCs/>
          <w:color w:val="000000"/>
          <w:szCs w:val="22"/>
        </w:rPr>
        <w:t xml:space="preserve">  </w:t>
      </w:r>
      <w:r>
        <w:rPr>
          <w:rFonts w:ascii="Times New Roman" w:hAnsi="Times New Roman" w:hint="eastAsia"/>
          <w:b/>
          <w:bCs/>
          <w:color w:val="000000"/>
          <w:szCs w:val="22"/>
        </w:rPr>
        <w:t>知识产权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知识产权概述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一、知识产权的概念和特征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二、知识产权的范围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著作权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一、著作权的概念和特征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二、著作权的主体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三、著作权的客体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四、著作权的内容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五、邻接权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六、著作权的合理使用和法定许可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七、著作权的保护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专利权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一、专利权的概念和特征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二、专利权的主体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三、专利权的客体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四、专利权的内容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五、专利权的取得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六、专利权的期限、无效与终止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七、专利权的强制许可和不视为侵犯专利权的行为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八、专利权的保护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第四节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商标权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一、商标权概述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二、商标权的取得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三、商标权的内容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四、注册商标的无效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五、商标权的终止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六、商标权的保护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第十六章</w:t>
      </w:r>
      <w:r>
        <w:rPr>
          <w:rFonts w:ascii="Times New Roman" w:hAnsi="Times New Roman"/>
          <w:b/>
          <w:bCs/>
          <w:color w:val="000000"/>
          <w:szCs w:val="22"/>
        </w:rPr>
        <w:t xml:space="preserve">  </w:t>
      </w:r>
      <w:r>
        <w:rPr>
          <w:rFonts w:ascii="Times New Roman" w:hAnsi="Times New Roman" w:hint="eastAsia"/>
          <w:b/>
          <w:bCs/>
          <w:color w:val="000000"/>
          <w:szCs w:val="22"/>
        </w:rPr>
        <w:t>债法概述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债的概述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一、债的概念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二、债的内容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三、债的分类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债的发生、变更和消灭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一、债的发生根据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二、债的变更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三、债的消灭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无因管理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一、无因管理的概念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二、无因管理之债的构成要件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三、无因管理之债的效力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第四节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不当得利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一、不当得利的概念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二、不当得利之债的构成要件和类型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三、不当得利之债的效力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第十七章</w:t>
      </w:r>
      <w:r>
        <w:rPr>
          <w:rFonts w:ascii="Times New Roman" w:hAnsi="Times New Roman"/>
          <w:b/>
          <w:bCs/>
          <w:color w:val="000000"/>
          <w:szCs w:val="22"/>
        </w:rPr>
        <w:t xml:space="preserve">  </w:t>
      </w:r>
      <w:r>
        <w:rPr>
          <w:rFonts w:ascii="Times New Roman" w:hAnsi="Times New Roman" w:hint="eastAsia"/>
          <w:b/>
          <w:bCs/>
          <w:color w:val="000000"/>
          <w:szCs w:val="22"/>
        </w:rPr>
        <w:t>合同法总论</w:t>
      </w:r>
      <w:r>
        <w:rPr>
          <w:rFonts w:ascii="Times New Roman" w:hAnsi="Times New Roman"/>
          <w:b/>
          <w:bCs/>
          <w:color w:val="000000"/>
          <w:szCs w:val="22"/>
        </w:rPr>
        <w:t> 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合同概述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一、合同的概念和特征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二、合同的分类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三、合同法的基本原则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合同的成立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一、合同的成立要件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二、合同订立的一般程序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三、格式条款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四、合同成立的时间和地点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五、缔约过失责任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合同的内容和形式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一、合同的内容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二、合同的形式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第四节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合同的效力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一、合同效力概述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二、无效合同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三、可变更、可撤销合同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四、效力待定合同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第五节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合同的履行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一、合同履行的原则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二、双务合同履行中的抗辩权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同时履行抗辩权；先履行抗辩权；不安抗辩权。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三、合同的保全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债权人代位权；债权人撤销权。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第六节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合同的担保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一、合同担保概述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二、保证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三、定金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第七节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合同的解除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一、合同的解除概述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二、合同解除的条件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三、合同解除的效力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第八节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违约责任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一、违约责任概述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二、违约责任的归责原则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三、违约责任的构成要件及免责事由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四、违约责任的承担方式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五、违约责任与侵权责任的竞合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第九节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合同的解释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一、合同解释概述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二、合同的解释规则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第十八章</w:t>
      </w:r>
      <w:r>
        <w:rPr>
          <w:rFonts w:ascii="Times New Roman" w:hAnsi="Times New Roman"/>
          <w:b/>
          <w:bCs/>
          <w:color w:val="000000"/>
          <w:szCs w:val="22"/>
        </w:rPr>
        <w:t xml:space="preserve">  </w:t>
      </w:r>
      <w:r>
        <w:rPr>
          <w:rFonts w:ascii="Times New Roman" w:hAnsi="Times New Roman" w:hint="eastAsia"/>
          <w:b/>
          <w:bCs/>
          <w:color w:val="000000"/>
          <w:szCs w:val="22"/>
        </w:rPr>
        <w:t>合同法分论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转移财产权的合同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一、买卖合同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二、供用电、水、气、热力合同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三、赠与合同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四、借款合同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五、租赁合同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六、融资租赁合同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完成工作交付成果的合同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一、承揽合同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二、建设工程合同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提供劳务的合同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一、运输合同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二、保管合同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三、仓储合同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四、委托合同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五、行纪合同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六、居问合同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第四节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技术合同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一、技术开发合同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二、技术转让合同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三、技术咨询合同和技术服务合同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第十九章</w:t>
      </w:r>
      <w:r>
        <w:rPr>
          <w:rFonts w:ascii="Times New Roman" w:hAnsi="Times New Roman"/>
          <w:b/>
          <w:bCs/>
          <w:color w:val="000000"/>
          <w:szCs w:val="22"/>
        </w:rPr>
        <w:t xml:space="preserve">  </w:t>
      </w:r>
      <w:r>
        <w:rPr>
          <w:rFonts w:ascii="Times New Roman" w:hAnsi="Times New Roman" w:hint="eastAsia"/>
          <w:b/>
          <w:bCs/>
          <w:color w:val="000000"/>
          <w:szCs w:val="22"/>
        </w:rPr>
        <w:t>婚姻家庭法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婚姻家庭法概述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一、婚姻家庭法的概念及调整对象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二、我国婚姻家庭法的基本原则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亲属制度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一、亲属的概念和特征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二、亲属的种类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三、亲系与亲等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四、亲属关系的发生与终止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结婚制度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一、结婚的实质要件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二、结婚的形式要件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三、无效婚姻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四、可撤销婚姻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第四节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夫妻关系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一、夫妻人身关系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二、夫妻财产关系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第五节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离婚制度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一、离婚制度概述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二、登记离婚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三、诉讼离婚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四、离婚的法律后果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五、离婚时的救济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第六节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收养制度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一、收养的概念和特征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二、收养关系的成立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三、收养关系成立的法律效力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四、收养关系的解除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第七节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父母子女关系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一、父母对子女有抚养教育的义务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二、父母对未成年子女有保护、教育的权利和义务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三、子女对父母有赡养扶助的义务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四、父母和子女有相互继承遗产的权利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第八节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扶养制度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一、扶养的概念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二、我国现行的扶养制度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夫妻之间的扶养；父母子女间的扶养；祖孙间的扶养；兄弟姐妹之间的扶养。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第二十章</w:t>
      </w:r>
      <w:r>
        <w:rPr>
          <w:rFonts w:ascii="Times New Roman" w:hAnsi="Times New Roman"/>
          <w:b/>
          <w:bCs/>
          <w:color w:val="000000"/>
          <w:szCs w:val="22"/>
        </w:rPr>
        <w:t xml:space="preserve">  </w:t>
      </w:r>
      <w:r>
        <w:rPr>
          <w:rFonts w:ascii="Times New Roman" w:hAnsi="Times New Roman" w:hint="eastAsia"/>
          <w:b/>
          <w:bCs/>
          <w:color w:val="000000"/>
          <w:szCs w:val="22"/>
        </w:rPr>
        <w:t>继承法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继承法概述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一、继承的概念和特征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二、继承权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三、我国继承法的基本原则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法定继承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一、法定继承的概念与特征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二、法定继承的适用情形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三、法定继承人的范围与继承顺序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四、代位继承与转继承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遗嘱继承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一、遗嘱继承的概念和特征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二、遗嘱继承的适用条件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三、遗嘱的概念和特征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四、遗嘱的形式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五、遗嘱的有效要件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六、遗嘱无效的情形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七、遗嘱的变更和撤销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第四节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遗赠和遗赠扶养协议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一、遗赠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二、遗赠扶养协议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第五节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继承的开始与遗产的处理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一、继承的开始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二、遗产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三、遗产的分割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四、被继承人债务的清偿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第二十一章</w:t>
      </w:r>
      <w:r>
        <w:rPr>
          <w:rFonts w:ascii="Times New Roman" w:hAnsi="Times New Roman"/>
          <w:b/>
          <w:bCs/>
          <w:color w:val="000000"/>
          <w:szCs w:val="22"/>
        </w:rPr>
        <w:t xml:space="preserve">   </w:t>
      </w:r>
      <w:r>
        <w:rPr>
          <w:rFonts w:ascii="Times New Roman" w:hAnsi="Times New Roman" w:hint="eastAsia"/>
          <w:b/>
          <w:bCs/>
          <w:color w:val="000000"/>
          <w:szCs w:val="22"/>
        </w:rPr>
        <w:t>侵权责任法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第一节</w:t>
      </w:r>
      <w:r>
        <w:rPr>
          <w:rFonts w:ascii="Times New Roman" w:hAnsi="Times New Roman"/>
          <w:color w:val="000000"/>
          <w:szCs w:val="22"/>
        </w:rPr>
        <w:t> </w:t>
      </w:r>
      <w:r>
        <w:rPr>
          <w:rFonts w:ascii="Times New Roman" w:hAnsi="Times New Roman" w:hint="eastAsia"/>
          <w:color w:val="000000"/>
          <w:szCs w:val="22"/>
        </w:rPr>
        <w:t>侵权责任概述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一、侵权责任的概念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二、侵权责任的分类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三、侵权责任与行政责任、刑事责任的聚合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第二节</w:t>
      </w:r>
      <w:r>
        <w:rPr>
          <w:rFonts w:ascii="Times New Roman" w:hAnsi="Times New Roman"/>
          <w:color w:val="000000"/>
          <w:szCs w:val="22"/>
        </w:rPr>
        <w:t>  </w:t>
      </w:r>
      <w:r>
        <w:rPr>
          <w:rFonts w:ascii="Times New Roman" w:hAnsi="Times New Roman" w:hint="eastAsia"/>
          <w:color w:val="000000"/>
          <w:szCs w:val="22"/>
        </w:rPr>
        <w:t>侵权责任的归责原则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一、侵权责任归责原则的概念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二、过错责任原则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三、无过错责任原则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第三节</w:t>
      </w:r>
      <w:r>
        <w:rPr>
          <w:rFonts w:ascii="Times New Roman" w:hAnsi="Times New Roman"/>
          <w:color w:val="000000"/>
          <w:szCs w:val="22"/>
        </w:rPr>
        <w:t xml:space="preserve"> </w:t>
      </w:r>
      <w:r>
        <w:rPr>
          <w:rFonts w:ascii="Times New Roman" w:hAnsi="Times New Roman" w:hint="eastAsia"/>
          <w:color w:val="000000"/>
          <w:szCs w:val="22"/>
        </w:rPr>
        <w:t>一般侵权责任的构成要件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一、加害行为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二、损害事实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三、因果关系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四、主观过错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第四节</w:t>
      </w:r>
      <w:r>
        <w:rPr>
          <w:rFonts w:ascii="Times New Roman" w:hAnsi="Times New Roman"/>
          <w:color w:val="000000"/>
          <w:szCs w:val="22"/>
        </w:rPr>
        <w:t xml:space="preserve"> </w:t>
      </w:r>
      <w:r>
        <w:rPr>
          <w:rFonts w:ascii="Times New Roman" w:hAnsi="Times New Roman" w:hint="eastAsia"/>
          <w:color w:val="000000"/>
          <w:szCs w:val="22"/>
        </w:rPr>
        <w:t>侵权责任的承担方式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一、赔偿损失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财产损失赔偿；人身损害赔偿；精神损害赔偿。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二、其他侵权责任承担方式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第五节</w:t>
      </w:r>
      <w:r>
        <w:rPr>
          <w:rFonts w:ascii="Times New Roman" w:hAnsi="Times New Roman"/>
          <w:color w:val="000000"/>
          <w:szCs w:val="22"/>
        </w:rPr>
        <w:t xml:space="preserve"> </w:t>
      </w:r>
      <w:r>
        <w:rPr>
          <w:rFonts w:ascii="Times New Roman" w:hAnsi="Times New Roman" w:hint="eastAsia"/>
          <w:color w:val="000000"/>
          <w:szCs w:val="22"/>
        </w:rPr>
        <w:t>侵权责任的抗辩事由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一、正当理由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二、外来原因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第六节</w:t>
      </w:r>
      <w:r>
        <w:rPr>
          <w:rFonts w:ascii="Times New Roman" w:hAnsi="Times New Roman"/>
          <w:color w:val="000000"/>
          <w:szCs w:val="22"/>
        </w:rPr>
        <w:t xml:space="preserve"> </w:t>
      </w:r>
      <w:r>
        <w:rPr>
          <w:rFonts w:ascii="Times New Roman" w:hAnsi="Times New Roman" w:hint="eastAsia"/>
          <w:color w:val="000000"/>
          <w:szCs w:val="22"/>
        </w:rPr>
        <w:t>数人侵权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一、共同侵权行为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二、共同危险行为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三、无意思联络的数人侵权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第七节</w:t>
      </w:r>
      <w:r>
        <w:rPr>
          <w:rFonts w:ascii="Times New Roman" w:hAnsi="Times New Roman"/>
          <w:color w:val="000000"/>
          <w:szCs w:val="22"/>
        </w:rPr>
        <w:t xml:space="preserve"> </w:t>
      </w:r>
      <w:r>
        <w:rPr>
          <w:rFonts w:ascii="Times New Roman" w:hAnsi="Times New Roman" w:hint="eastAsia"/>
          <w:color w:val="000000"/>
          <w:szCs w:val="22"/>
        </w:rPr>
        <w:t>各类侵权责任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一、监护人责任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二、用人单位责任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三、个人之间因劳务产生的侵权责任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四、网络侵权责任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五、违反安全保障义务的侵权责任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六、学校、幼儿园等教育机构的责任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七、产品责任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八、机动车交通事故责任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九、医疗损害责任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十、环境污染责任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十一、高度危险责任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十二、饲养动物损害责任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十三、物件损害责任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 </w:t>
      </w:r>
    </w:p>
    <w:p w:rsidR="00156604" w:rsidRDefault="00156604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三、参考书目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1</w:t>
      </w:r>
      <w:r>
        <w:rPr>
          <w:rFonts w:ascii="Times New Roman" w:hAnsi="Times New Roman" w:hint="eastAsia"/>
          <w:color w:val="000000"/>
          <w:szCs w:val="22"/>
        </w:rPr>
        <w:t>、相关民事法律规定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2</w:t>
      </w:r>
      <w:r>
        <w:rPr>
          <w:rFonts w:ascii="Times New Roman" w:hAnsi="Times New Roman" w:hint="eastAsia"/>
          <w:color w:val="000000"/>
          <w:szCs w:val="22"/>
        </w:rPr>
        <w:t>、相关司法解释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3</w:t>
      </w:r>
      <w:r>
        <w:rPr>
          <w:rFonts w:ascii="Times New Roman" w:hAnsi="Times New Roman" w:hint="eastAsia"/>
          <w:color w:val="000000"/>
          <w:szCs w:val="22"/>
        </w:rPr>
        <w:t>、参考书</w:t>
      </w:r>
    </w:p>
    <w:p w:rsidR="00156604" w:rsidRDefault="00156604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可参考各高等院校的教材和专家学者的有关著述。</w:t>
      </w:r>
    </w:p>
    <w:p w:rsidR="00156604" w:rsidRDefault="00156604">
      <w:pPr>
        <w:pStyle w:val="NormalWeb"/>
        <w:widowControl/>
        <w:shd w:val="clear" w:color="auto" w:fill="FFFFFF"/>
        <w:spacing w:beforeAutospacing="0" w:afterAutospacing="0" w:line="360" w:lineRule="auto"/>
        <w:jc w:val="both"/>
        <w:rPr>
          <w:color w:val="000000"/>
          <w:kern w:val="2"/>
          <w:sz w:val="21"/>
        </w:rPr>
      </w:pPr>
    </w:p>
    <w:sectPr w:rsidR="00156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8C376"/>
    <w:multiLevelType w:val="singleLevel"/>
    <w:tmpl w:val="72A8C376"/>
    <w:lvl w:ilvl="0">
      <w:start w:val="2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C3B01B5"/>
    <w:rsid w:val="00156604"/>
    <w:rsid w:val="0028487B"/>
    <w:rsid w:val="00931171"/>
    <w:rsid w:val="00B07D39"/>
    <w:rsid w:val="00C03D8F"/>
    <w:rsid w:val="0E107900"/>
    <w:rsid w:val="1295412E"/>
    <w:rsid w:val="38512BC5"/>
    <w:rsid w:val="456B0641"/>
    <w:rsid w:val="4B6E1C18"/>
    <w:rsid w:val="5FB54478"/>
    <w:rsid w:val="6E84521F"/>
    <w:rsid w:val="7C3B0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D8F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03D8F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17</Pages>
  <Words>857</Words>
  <Characters>4886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liangjunmin</dc:creator>
  <cp:keywords/>
  <dc:description/>
  <cp:lastModifiedBy>陈举欣</cp:lastModifiedBy>
  <cp:revision>2</cp:revision>
  <dcterms:created xsi:type="dcterms:W3CDTF">2017-09-15T01:53:00Z</dcterms:created>
  <dcterms:modified xsi:type="dcterms:W3CDTF">2018-09-19T14:46:00Z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