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0" w:firstLineChars="0"/>
        <w:jc w:val="center"/>
        <w:rPr>
          <w:rFonts w:ascii="黑体" w:hAnsi="Times New Roman" w:eastAsia="黑体" w:cs="Times New Roman"/>
          <w:b/>
          <w:sz w:val="32"/>
          <w:szCs w:val="32"/>
        </w:rPr>
      </w:pPr>
      <w:bookmarkStart w:id="0" w:name="_GoBack"/>
      <w:bookmarkEnd w:id="0"/>
      <w:r>
        <w:rPr>
          <w:rFonts w:hint="eastAsia" w:ascii="黑体" w:hAnsi="Times New Roman" w:eastAsia="黑体" w:cs="Times New Roman"/>
          <w:b/>
          <w:sz w:val="32"/>
          <w:szCs w:val="32"/>
        </w:rPr>
        <w:t>2020年宁波大学硕士研究生招生考试初试科目</w:t>
      </w:r>
      <w:r>
        <w:rPr>
          <w:rFonts w:ascii="黑体" w:hAnsi="Times New Roman" w:eastAsia="黑体" w:cs="Times New Roman"/>
          <w:b/>
          <w:sz w:val="32"/>
          <w:szCs w:val="32"/>
        </w:rPr>
        <w:br w:type="textWrapping"/>
      </w:r>
      <w:r>
        <w:rPr>
          <w:rFonts w:hint="eastAsia" w:ascii="黑体" w:hAnsi="Times New Roman" w:eastAsia="黑体" w:cs="Times New Roman"/>
          <w:b/>
          <w:sz w:val="32"/>
          <w:szCs w:val="32"/>
        </w:rPr>
        <w:t>考　试　大　纲</w:t>
      </w:r>
    </w:p>
    <w:p>
      <w:pPr>
        <w:spacing w:line="400" w:lineRule="exact"/>
        <w:ind w:firstLine="0" w:firstLineChars="0"/>
        <w:jc w:val="center"/>
        <w:rPr>
          <w:rFonts w:ascii="楷体" w:hAnsi="楷体" w:eastAsia="楷体" w:cs="楷体"/>
          <w:szCs w:val="24"/>
        </w:rPr>
      </w:pPr>
      <w:r>
        <w:rPr>
          <w:rFonts w:hint="eastAsia" w:ascii="楷体" w:hAnsi="楷体" w:eastAsia="楷体" w:cs="楷体"/>
          <w:szCs w:val="24"/>
        </w:rPr>
        <w:t xml:space="preserve"> </w:t>
      </w:r>
    </w:p>
    <w:tbl>
      <w:tblPr>
        <w:tblStyle w:val="6"/>
        <w:tblW w:w="8460" w:type="dxa"/>
        <w:tblInd w:w="108" w:type="dxa"/>
        <w:tblLayout w:type="fixed"/>
        <w:tblCellMar>
          <w:top w:w="0" w:type="dxa"/>
          <w:left w:w="108" w:type="dxa"/>
          <w:bottom w:w="0" w:type="dxa"/>
          <w:right w:w="108" w:type="dxa"/>
        </w:tblCellMar>
      </w:tblPr>
      <w:tblGrid>
        <w:gridCol w:w="1620"/>
        <w:gridCol w:w="6840"/>
      </w:tblGrid>
      <w:tr>
        <w:tblPrEx>
          <w:tblLayout w:type="fixed"/>
          <w:tblCellMar>
            <w:top w:w="0" w:type="dxa"/>
            <w:left w:w="108" w:type="dxa"/>
            <w:bottom w:w="0" w:type="dxa"/>
            <w:right w:w="108" w:type="dxa"/>
          </w:tblCellMar>
        </w:tblPrEx>
        <w:trPr>
          <w:trHeight w:val="435" w:hRule="atLeast"/>
        </w:trPr>
        <w:tc>
          <w:tcPr>
            <w:tcW w:w="1620" w:type="dxa"/>
            <w:shd w:val="clear" w:color="auto" w:fill="auto"/>
            <w:vAlign w:val="bottom"/>
          </w:tcPr>
          <w:p>
            <w:pPr>
              <w:spacing w:afterLines="15"/>
              <w:ind w:left="-120" w:leftChars="-50" w:right="-120" w:rightChars="-50" w:firstLine="0" w:firstLineChars="0"/>
              <w:rPr>
                <w:rFonts w:ascii="宋体" w:hAnsi="宋体" w:cs="Times New Roman"/>
                <w:b/>
                <w:sz w:val="21"/>
                <w:szCs w:val="21"/>
              </w:rPr>
            </w:pPr>
            <w:r>
              <w:rPr>
                <w:rFonts w:hint="eastAsia" w:ascii="宋体" w:hAnsi="宋体" w:cs="Times New Roman"/>
                <w:b/>
                <w:sz w:val="21"/>
                <w:szCs w:val="21"/>
              </w:rPr>
              <w:t>科目代码、名称:</w:t>
            </w:r>
          </w:p>
        </w:tc>
        <w:tc>
          <w:tcPr>
            <w:tcW w:w="6840" w:type="dxa"/>
            <w:tcBorders>
              <w:bottom w:val="single" w:color="auto" w:sz="4" w:space="0"/>
            </w:tcBorders>
            <w:shd w:val="clear" w:color="auto" w:fill="auto"/>
            <w:vAlign w:val="bottom"/>
          </w:tcPr>
          <w:p>
            <w:pPr>
              <w:keepNext/>
              <w:keepLines/>
              <w:spacing w:beforeLines="25" w:afterLines="10"/>
              <w:ind w:firstLine="0" w:firstLineChars="0"/>
              <w:jc w:val="center"/>
              <w:outlineLvl w:val="0"/>
              <w:rPr>
                <w:rFonts w:ascii="Times New Roman" w:hAnsi="Times New Roman" w:cs="Times New Roman"/>
                <w:b/>
                <w:bCs/>
                <w:kern w:val="44"/>
                <w:sz w:val="21"/>
                <w:szCs w:val="21"/>
              </w:rPr>
            </w:pPr>
            <w:r>
              <w:rPr>
                <w:rFonts w:hint="eastAsia" w:ascii="Times New Roman" w:hAnsi="Times New Roman" w:cs="Times New Roman"/>
                <w:b/>
                <w:bCs/>
                <w:color w:val="000000"/>
                <w:kern w:val="44"/>
                <w:sz w:val="21"/>
                <w:szCs w:val="21"/>
              </w:rPr>
              <w:t>431金融学综合</w:t>
            </w:r>
          </w:p>
        </w:tc>
      </w:tr>
    </w:tbl>
    <w:p>
      <w:pPr>
        <w:numPr>
          <w:ilvl w:val="0"/>
          <w:numId w:val="1"/>
        </w:numPr>
        <w:spacing w:beforeLines="100" w:afterLines="10" w:line="360" w:lineRule="auto"/>
        <w:ind w:firstLine="0" w:firstLineChars="0"/>
        <w:rPr>
          <w:rFonts w:ascii="Times New Roman" w:hAnsi="Times New Roman" w:cs="Times New Roman"/>
          <w:b/>
          <w:sz w:val="21"/>
          <w:szCs w:val="21"/>
        </w:rPr>
      </w:pPr>
      <w:r>
        <w:rPr>
          <w:rFonts w:hint="eastAsia" w:ascii="Times New Roman" w:hAnsi="Times New Roman" w:cs="Times New Roman"/>
          <w:b/>
          <w:szCs w:val="24"/>
        </w:rPr>
        <w:t xml:space="preserve">考试形式与试卷结构 </w:t>
      </w:r>
      <w:r>
        <w:rPr>
          <w:rFonts w:hint="eastAsia" w:ascii="Times New Roman" w:hAnsi="Times New Roman" w:cs="Times New Roman"/>
          <w:b/>
          <w:sz w:val="21"/>
          <w:szCs w:val="21"/>
        </w:rPr>
        <w:t xml:space="preserve">   </w:t>
      </w:r>
    </w:p>
    <w:p>
      <w:pPr>
        <w:numPr>
          <w:ilvl w:val="0"/>
          <w:numId w:val="2"/>
        </w:numPr>
        <w:spacing w:beforeLines="10" w:afterLines="10" w:line="360" w:lineRule="auto"/>
        <w:ind w:firstLine="422" w:firstLineChars="0"/>
        <w:rPr>
          <w:rFonts w:ascii="Times New Roman" w:hAnsi="Times New Roman" w:cs="Times New Roman"/>
          <w:b/>
          <w:sz w:val="21"/>
          <w:szCs w:val="21"/>
        </w:rPr>
      </w:pPr>
      <w:r>
        <w:rPr>
          <w:rFonts w:hint="eastAsia" w:ascii="Times New Roman" w:hAnsi="Times New Roman" w:cs="Times New Roman"/>
          <w:b/>
          <w:sz w:val="21"/>
          <w:szCs w:val="21"/>
        </w:rPr>
        <w:t>试卷满分值及考试时间</w:t>
      </w:r>
    </w:p>
    <w:p>
      <w:pPr>
        <w:spacing w:beforeLines="10" w:afterLines="10" w:line="360" w:lineRule="auto"/>
        <w:ind w:firstLine="0" w:firstLineChars="0"/>
        <w:rPr>
          <w:rFonts w:ascii="新宋体" w:hAnsi="新宋体" w:eastAsia="新宋体" w:cs="Times New Roman"/>
          <w:sz w:val="21"/>
          <w:szCs w:val="21"/>
        </w:rPr>
      </w:pPr>
      <w:r>
        <w:rPr>
          <w:rFonts w:hint="eastAsia" w:ascii="新宋体" w:hAnsi="新宋体" w:eastAsia="新宋体" w:cs="Times New Roman"/>
          <w:b/>
          <w:bCs/>
          <w:color w:val="FF0000"/>
          <w:sz w:val="21"/>
          <w:szCs w:val="21"/>
        </w:rPr>
        <w:t xml:space="preserve">   </w:t>
      </w:r>
      <w:r>
        <w:rPr>
          <w:rFonts w:hint="eastAsia" w:ascii="楷体" w:hAnsi="楷体" w:eastAsia="楷体" w:cs="楷体"/>
          <w:b/>
          <w:bCs/>
          <w:color w:val="FF0000"/>
          <w:sz w:val="21"/>
          <w:szCs w:val="21"/>
        </w:rPr>
        <w:t xml:space="preserve"> </w:t>
      </w:r>
      <w:r>
        <w:rPr>
          <w:rFonts w:hint="eastAsia" w:ascii="楷体" w:hAnsi="楷体" w:eastAsia="楷体" w:cs="楷体"/>
          <w:b/>
          <w:bCs/>
          <w:color w:val="FF0000"/>
          <w:szCs w:val="24"/>
        </w:rPr>
        <w:t xml:space="preserve"> </w:t>
      </w:r>
      <w:r>
        <w:rPr>
          <w:rFonts w:hint="eastAsia" w:ascii="新宋体" w:hAnsi="新宋体" w:eastAsia="新宋体" w:cs="Times New Roman"/>
          <w:sz w:val="21"/>
          <w:szCs w:val="21"/>
        </w:rPr>
        <w:t>本试卷满分为150分，考试时间为180分钟。</w:t>
      </w:r>
    </w:p>
    <w:p>
      <w:pPr>
        <w:spacing w:beforeLines="10" w:afterLines="10" w:line="360" w:lineRule="auto"/>
        <w:ind w:firstLine="0" w:firstLineChars="0"/>
        <w:rPr>
          <w:rFonts w:ascii="新宋体" w:hAnsi="新宋体" w:eastAsia="新宋体" w:cs="Times New Roman"/>
          <w:b/>
          <w:sz w:val="21"/>
          <w:szCs w:val="21"/>
        </w:rPr>
      </w:pPr>
      <w:r>
        <w:rPr>
          <w:rFonts w:hint="eastAsia" w:ascii="新宋体" w:hAnsi="新宋体" w:eastAsia="新宋体" w:cs="Times New Roman"/>
          <w:b/>
          <w:sz w:val="21"/>
          <w:szCs w:val="21"/>
        </w:rPr>
        <w:t xml:space="preserve">    （二）答题方式</w:t>
      </w:r>
    </w:p>
    <w:p>
      <w:pPr>
        <w:spacing w:beforeLines="10" w:afterLines="10" w:line="360" w:lineRule="auto"/>
        <w:ind w:firstLine="420"/>
        <w:rPr>
          <w:rFonts w:ascii="新宋体" w:hAnsi="新宋体" w:eastAsia="新宋体" w:cs="Times New Roman"/>
          <w:sz w:val="21"/>
          <w:szCs w:val="21"/>
        </w:rPr>
      </w:pPr>
      <w:r>
        <w:rPr>
          <w:rFonts w:hint="eastAsia" w:ascii="新宋体" w:hAnsi="新宋体" w:eastAsia="新宋体" w:cs="Times New Roman"/>
          <w:sz w:val="21"/>
          <w:szCs w:val="21"/>
        </w:rPr>
        <w:t xml:space="preserve"> 答题方式为闭卷、笔试。试卷由试题和答题纸组成；答案必须写在答题纸（由考点提供）相应的位置上。</w:t>
      </w:r>
    </w:p>
    <w:p>
      <w:pPr>
        <w:spacing w:beforeLines="10" w:afterLines="10" w:line="360" w:lineRule="auto"/>
        <w:ind w:firstLine="422"/>
        <w:rPr>
          <w:rFonts w:ascii="Times New Roman" w:hAnsi="Times New Roman" w:cs="Times New Roman"/>
          <w:b/>
          <w:sz w:val="21"/>
          <w:szCs w:val="21"/>
        </w:rPr>
      </w:pPr>
      <w:r>
        <w:rPr>
          <w:rFonts w:hint="eastAsia" w:ascii="新宋体" w:hAnsi="新宋体" w:eastAsia="新宋体" w:cs="Times New Roman"/>
          <w:b/>
          <w:sz w:val="21"/>
          <w:szCs w:val="21"/>
        </w:rPr>
        <w:t>（三）试卷内容</w:t>
      </w:r>
    </w:p>
    <w:p>
      <w:pPr>
        <w:adjustRightInd w:val="0"/>
        <w:snapToGrid w:val="0"/>
        <w:spacing w:line="360" w:lineRule="auto"/>
        <w:ind w:firstLine="420"/>
        <w:rPr>
          <w:rFonts w:ascii="宋体" w:hAnsi="宋体" w:cs="Arial"/>
          <w:color w:val="000000"/>
          <w:sz w:val="21"/>
          <w:szCs w:val="21"/>
        </w:rPr>
      </w:pPr>
      <w:r>
        <w:rPr>
          <w:rFonts w:hint="eastAsia" w:ascii="宋体" w:hAnsi="宋体" w:cs="Arial"/>
          <w:color w:val="000000"/>
          <w:sz w:val="21"/>
          <w:szCs w:val="21"/>
        </w:rPr>
        <w:t>考试内容注重实用性，兼顾先进性，从知识角度上包括了货币与利率、金融机构、商业银行及经营管理、中央银行及货币政策、国际金融、投资学、公司财务等内容。考试内容分布于参考书目当中，内容要点可查看本大纲考查范围或考试内容概要部分。</w:t>
      </w:r>
    </w:p>
    <w:p>
      <w:pPr>
        <w:spacing w:beforeLines="10" w:afterLines="10" w:line="360" w:lineRule="auto"/>
        <w:ind w:firstLine="422"/>
        <w:rPr>
          <w:rFonts w:ascii="新宋体" w:hAnsi="新宋体" w:eastAsia="新宋体" w:cs="Times New Roman"/>
          <w:b/>
          <w:sz w:val="21"/>
          <w:szCs w:val="21"/>
        </w:rPr>
      </w:pPr>
      <w:r>
        <w:rPr>
          <w:rFonts w:hint="eastAsia" w:ascii="新宋体" w:hAnsi="新宋体" w:eastAsia="新宋体" w:cs="Times New Roman"/>
          <w:b/>
          <w:sz w:val="21"/>
          <w:szCs w:val="21"/>
        </w:rPr>
        <w:t>（四）试卷题型分布</w:t>
      </w:r>
    </w:p>
    <w:p>
      <w:pPr>
        <w:spacing w:beforeLines="10" w:afterLines="10" w:line="360" w:lineRule="auto"/>
        <w:ind w:firstLine="420"/>
        <w:rPr>
          <w:rFonts w:ascii="宋体" w:hAnsi="宋体" w:cs="Arial"/>
          <w:color w:val="000000"/>
          <w:sz w:val="21"/>
          <w:szCs w:val="21"/>
        </w:rPr>
      </w:pPr>
      <w:r>
        <w:rPr>
          <w:rFonts w:hint="eastAsia" w:ascii="宋体" w:hAnsi="宋体" w:cs="Arial"/>
          <w:color w:val="000000"/>
          <w:sz w:val="21"/>
          <w:szCs w:val="21"/>
        </w:rPr>
        <w:t>考试题型包括名词解释、简答题、论述题、计算题。考生在回答名词解释、简答题和论述题时应注重突出核心重点、要点，言简意赅，注意语言的条理性和逻辑性。</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1.名词解释</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2.简答题</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3.论述题</w:t>
      </w:r>
    </w:p>
    <w:p>
      <w:pPr>
        <w:spacing w:line="360" w:lineRule="auto"/>
        <w:ind w:firstLine="420"/>
        <w:rPr>
          <w:rFonts w:ascii="宋体" w:hAnsi="宋体" w:cs="Times New Roman"/>
          <w:b/>
          <w:bCs/>
          <w:color w:val="000000"/>
          <w:sz w:val="21"/>
          <w:szCs w:val="21"/>
        </w:rPr>
      </w:pPr>
      <w:r>
        <w:rPr>
          <w:rFonts w:hint="eastAsia" w:ascii="宋体" w:hAnsi="宋体" w:cs="Times New Roman"/>
          <w:color w:val="000000"/>
          <w:sz w:val="21"/>
          <w:szCs w:val="21"/>
        </w:rPr>
        <w:t>4.计算题</w:t>
      </w:r>
    </w:p>
    <w:p>
      <w:pPr>
        <w:spacing w:line="360" w:lineRule="auto"/>
        <w:ind w:firstLine="0" w:firstLineChars="0"/>
        <w:rPr>
          <w:rFonts w:ascii="Times New Roman" w:hAnsi="Times New Roman" w:cs="Times New Roman"/>
          <w:b/>
          <w:szCs w:val="24"/>
        </w:rPr>
      </w:pPr>
      <w:r>
        <w:rPr>
          <w:rFonts w:hint="eastAsia" w:ascii="Times New Roman" w:hAnsi="Times New Roman" w:cs="Times New Roman"/>
          <w:b/>
          <w:szCs w:val="24"/>
        </w:rPr>
        <w:t>二、考试性质与考查目的</w:t>
      </w:r>
    </w:p>
    <w:p>
      <w:pPr>
        <w:spacing w:line="360" w:lineRule="auto"/>
        <w:ind w:firstLine="420"/>
        <w:rPr>
          <w:rFonts w:ascii="宋体" w:hAnsi="宋体" w:cs="Arial"/>
          <w:color w:val="000000"/>
          <w:sz w:val="21"/>
          <w:szCs w:val="21"/>
        </w:rPr>
      </w:pPr>
      <w:r>
        <w:rPr>
          <w:rFonts w:hint="eastAsia" w:ascii="宋体" w:hAnsi="宋体" w:cs="Arial"/>
          <w:color w:val="000000"/>
          <w:sz w:val="21"/>
          <w:szCs w:val="21"/>
        </w:rPr>
        <w:t>课程考试的目的在于科学、准确、规范地测评</w:t>
      </w:r>
      <w:r>
        <w:rPr>
          <w:rFonts w:ascii="宋体" w:hAnsi="宋体" w:cs="Arial"/>
          <w:color w:val="000000"/>
          <w:sz w:val="21"/>
          <w:szCs w:val="21"/>
        </w:rPr>
        <w:t>考生对</w:t>
      </w:r>
      <w:r>
        <w:rPr>
          <w:rFonts w:hint="eastAsia" w:ascii="宋体" w:hAnsi="宋体" w:cs="Arial"/>
          <w:color w:val="000000"/>
          <w:sz w:val="21"/>
          <w:szCs w:val="21"/>
        </w:rPr>
        <w:t>于货币金融学、公司财务等宏微观金融学相关概念及理论的掌握情况和综合应用能力，选拔具有发展潜力的优秀人才入学，为国家建设培养高层次、应用型、复合型的金融专业人才。</w:t>
      </w:r>
    </w:p>
    <w:p>
      <w:pPr>
        <w:numPr>
          <w:ilvl w:val="0"/>
          <w:numId w:val="3"/>
        </w:numPr>
        <w:spacing w:beforeLines="10" w:afterLines="10" w:line="360" w:lineRule="auto"/>
        <w:ind w:firstLine="0" w:firstLineChars="0"/>
        <w:rPr>
          <w:rFonts w:ascii="Times New Roman" w:hAnsi="Times New Roman" w:cs="Times New Roman"/>
          <w:b/>
          <w:szCs w:val="24"/>
        </w:rPr>
      </w:pPr>
      <w:r>
        <w:rPr>
          <w:rFonts w:hint="eastAsia" w:ascii="Times New Roman" w:hAnsi="Times New Roman" w:cs="Times New Roman"/>
          <w:b/>
          <w:szCs w:val="24"/>
        </w:rPr>
        <w:t>考查范围或考试内容概要</w:t>
      </w:r>
    </w:p>
    <w:p>
      <w:pPr>
        <w:adjustRightInd w:val="0"/>
        <w:snapToGrid w:val="0"/>
        <w:spacing w:line="360" w:lineRule="auto"/>
        <w:ind w:firstLine="420" w:firstLineChars="0"/>
        <w:rPr>
          <w:rFonts w:ascii="宋体" w:hAnsi="宋体" w:cs="Arial"/>
          <w:color w:val="000000"/>
          <w:sz w:val="21"/>
          <w:szCs w:val="21"/>
        </w:rPr>
      </w:pPr>
      <w:r>
        <w:rPr>
          <w:rFonts w:ascii="宋体" w:hAnsi="宋体" w:cs="Arial"/>
          <w:color w:val="000000"/>
          <w:sz w:val="21"/>
          <w:szCs w:val="21"/>
        </w:rPr>
        <w:t>第一部分</w:t>
      </w:r>
      <w:r>
        <w:rPr>
          <w:rFonts w:hint="eastAsia" w:ascii="宋体" w:hAnsi="宋体" w:cs="Arial"/>
          <w:color w:val="000000"/>
          <w:sz w:val="21"/>
          <w:szCs w:val="21"/>
        </w:rPr>
        <w:t xml:space="preserve"> 宏观金融学模块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1.货币与金融体系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货币的含义与职能、货币的计量、金融市场功能与工具、金融中介机构的功能与类型、货币的层次、金融体系的监管、国际货币体系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2.利率与金融市场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利率与利率风险、金融市场及其要素、货币市场、资本市场、衍生工具市场、债券市场供求分析、流动性偏好理论、利率的决定因素、利率的风险结构与期限结构、收益率曲线</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3.金融机构</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金融机构体系、商业银行资产负债业务、商业银行中间业务与表外业务、商业银行的风险特征、商业银行的存款创造、信息不对称问题如何影响金融机构、金融脆弱性与金融监管、金融危机的影响因素与表现、金融创新与“影子银行体系”的发展</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4.中央银行与货币政策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中央银行的职能与独立性、货币政策的目标与工具、货币政策的传导机制、货币供给理论、货币需求理论、通货膨胀与通货紧缩、货币政策与财政政策的有效性比较</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5.国际金融体系与外汇市场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外汇与汇率、汇率决定理论、汇率制度、国际收支、国际储备、国际资本流动</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第二部分 微观金融学模块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1.财务分析与规划</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公司财务的基本概念、财务管理的目标、会计报表、财务报表比率分析、长期财务规划、外部融资与增长</w:t>
      </w:r>
    </w:p>
    <w:p>
      <w:pPr>
        <w:adjustRightInd w:val="0"/>
        <w:snapToGrid w:val="0"/>
        <w:spacing w:line="360" w:lineRule="auto"/>
        <w:ind w:firstLine="420" w:firstLineChars="0"/>
        <w:rPr>
          <w:rFonts w:ascii="宋体" w:hAnsi="宋体" w:cs="Arial"/>
          <w:color w:val="000000"/>
          <w:sz w:val="21"/>
          <w:szCs w:val="21"/>
        </w:rPr>
      </w:pPr>
      <w:r>
        <w:rPr>
          <w:rFonts w:ascii="宋体" w:hAnsi="宋体" w:cs="Arial"/>
          <w:color w:val="000000"/>
          <w:sz w:val="21"/>
          <w:szCs w:val="21"/>
        </w:rPr>
        <w:t>2.估值与资本预算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现金流与折现、债券的估值、股票的估值、投资决策方法、增量现金流、净现值运用、资本预算中的风险分析、公司价值评估的主要方法及应用</w:t>
      </w:r>
    </w:p>
    <w:p>
      <w:pPr>
        <w:adjustRightInd w:val="0"/>
        <w:snapToGrid w:val="0"/>
        <w:spacing w:line="360" w:lineRule="auto"/>
        <w:ind w:firstLine="420" w:firstLineChars="0"/>
        <w:rPr>
          <w:rFonts w:ascii="宋体" w:hAnsi="宋体" w:cs="Arial"/>
          <w:color w:val="000000"/>
          <w:sz w:val="21"/>
          <w:szCs w:val="21"/>
        </w:rPr>
      </w:pPr>
      <w:r>
        <w:rPr>
          <w:rFonts w:ascii="宋体" w:hAnsi="宋体" w:cs="Arial"/>
          <w:color w:val="000000"/>
          <w:sz w:val="21"/>
          <w:szCs w:val="21"/>
        </w:rPr>
        <w:t>3.风险与收益</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风险与收益的度量、均值方差模型、资本资产定价模型、套利定价理论、加权平均资本成本、贝塔（β）的估计</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4.资本结构与股利政策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资本结构基本概念与理论、债务融资与股权融资、有效市场的概念与类型、有效市场与公司财务、股利政策与其他支付政策</w:t>
      </w:r>
    </w:p>
    <w:p>
      <w:pPr>
        <w:spacing w:beforeLines="10" w:afterLines="10" w:line="360" w:lineRule="auto"/>
        <w:ind w:left="480" w:leftChars="200" w:firstLine="0" w:firstLineChars="0"/>
        <w:rPr>
          <w:rFonts w:ascii="Times New Roman" w:hAnsi="Times New Roman" w:cs="Times New Roman"/>
          <w:szCs w:val="24"/>
        </w:rPr>
      </w:pPr>
      <w:r>
        <w:rPr>
          <w:rFonts w:hint="eastAsia" w:ascii="Times New Roman" w:hAnsi="Times New Roman" w:cs="Times New Roman"/>
          <w:b/>
          <w:szCs w:val="24"/>
        </w:rPr>
        <w:t>参考教材或主要参考书</w:t>
      </w:r>
      <w:r>
        <w:rPr>
          <w:rFonts w:hint="eastAsia" w:ascii="Times New Roman" w:hAnsi="Times New Roman" w:cs="Times New Roman"/>
          <w:szCs w:val="24"/>
        </w:rPr>
        <w:t>：</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1.《金融学》（第四版）[货币银行学（第六版）]，黄达、张杰编著，中国人民大学出版社，2017年。</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2.《公司金融学》（第四版），杨丽荣主编，科学出版社，2016年。</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7FBF9"/>
    <w:multiLevelType w:val="singleLevel"/>
    <w:tmpl w:val="5907FBF9"/>
    <w:lvl w:ilvl="0" w:tentative="0">
      <w:start w:val="1"/>
      <w:numFmt w:val="chineseCounting"/>
      <w:suff w:val="nothing"/>
      <w:lvlText w:val="%1、"/>
      <w:lvlJc w:val="left"/>
    </w:lvl>
  </w:abstractNum>
  <w:abstractNum w:abstractNumId="1">
    <w:nsid w:val="5907FC4F"/>
    <w:multiLevelType w:val="singleLevel"/>
    <w:tmpl w:val="5907FC4F"/>
    <w:lvl w:ilvl="0" w:tentative="0">
      <w:start w:val="1"/>
      <w:numFmt w:val="chineseCounting"/>
      <w:suff w:val="nothing"/>
      <w:lvlText w:val="（%1）"/>
      <w:lvlJc w:val="left"/>
    </w:lvl>
  </w:abstractNum>
  <w:abstractNum w:abstractNumId="2">
    <w:nsid w:val="5907FE2A"/>
    <w:multiLevelType w:val="singleLevel"/>
    <w:tmpl w:val="5907FE2A"/>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0A72"/>
    <w:rsid w:val="000057AF"/>
    <w:rsid w:val="00024DF3"/>
    <w:rsid w:val="000D2A5B"/>
    <w:rsid w:val="001A4F88"/>
    <w:rsid w:val="001C10BA"/>
    <w:rsid w:val="001E41A9"/>
    <w:rsid w:val="00200CDD"/>
    <w:rsid w:val="002720BD"/>
    <w:rsid w:val="00284911"/>
    <w:rsid w:val="002902D1"/>
    <w:rsid w:val="00295F14"/>
    <w:rsid w:val="002E1E83"/>
    <w:rsid w:val="003B36F5"/>
    <w:rsid w:val="003E4C50"/>
    <w:rsid w:val="00402F31"/>
    <w:rsid w:val="0046602B"/>
    <w:rsid w:val="004A67FB"/>
    <w:rsid w:val="00560913"/>
    <w:rsid w:val="00574B2D"/>
    <w:rsid w:val="005C0FF0"/>
    <w:rsid w:val="00626E0A"/>
    <w:rsid w:val="006E114B"/>
    <w:rsid w:val="006E3EAA"/>
    <w:rsid w:val="00734DC3"/>
    <w:rsid w:val="007B2F59"/>
    <w:rsid w:val="008E0677"/>
    <w:rsid w:val="008E16F4"/>
    <w:rsid w:val="0090450F"/>
    <w:rsid w:val="009300EA"/>
    <w:rsid w:val="00977CFD"/>
    <w:rsid w:val="00993F0C"/>
    <w:rsid w:val="009D7329"/>
    <w:rsid w:val="00A377A0"/>
    <w:rsid w:val="00A64DB4"/>
    <w:rsid w:val="00AC11EC"/>
    <w:rsid w:val="00B00B61"/>
    <w:rsid w:val="00B51965"/>
    <w:rsid w:val="00BC4FEF"/>
    <w:rsid w:val="00CC4859"/>
    <w:rsid w:val="00DA4C80"/>
    <w:rsid w:val="00DB4E15"/>
    <w:rsid w:val="00E37862"/>
    <w:rsid w:val="00E44C35"/>
    <w:rsid w:val="00E57B19"/>
    <w:rsid w:val="00E70737"/>
    <w:rsid w:val="00E80B9E"/>
    <w:rsid w:val="00ED1F01"/>
    <w:rsid w:val="00F0402C"/>
    <w:rsid w:val="00F829D2"/>
    <w:rsid w:val="00F92BD8"/>
    <w:rsid w:val="00FF0A72"/>
    <w:rsid w:val="00FF585E"/>
    <w:rsid w:val="0CD34B65"/>
    <w:rsid w:val="545271A6"/>
    <w:rsid w:val="7FE00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eastAsia="宋体" w:asciiTheme="minorHAnsi" w:hAnsiTheme="minorHAnsi" w:cstheme="minorBidi"/>
      <w:kern w:val="2"/>
      <w:sz w:val="24"/>
      <w:szCs w:val="22"/>
      <w:lang w:val="en-US" w:eastAsia="zh-CN" w:bidi="ar-SA"/>
    </w:rPr>
  </w:style>
  <w:style w:type="paragraph" w:styleId="2">
    <w:name w:val="heading 2"/>
    <w:basedOn w:val="1"/>
    <w:next w:val="1"/>
    <w:link w:val="8"/>
    <w:unhideWhenUsed/>
    <w:qFormat/>
    <w:uiPriority w:val="9"/>
    <w:pPr>
      <w:keepNext/>
      <w:keepLines/>
      <w:spacing w:before="120" w:after="120" w:line="312" w:lineRule="auto"/>
      <w:ind w:firstLine="0" w:firstLineChars="0"/>
      <w:outlineLvl w:val="1"/>
    </w:pPr>
    <w:rPr>
      <w:rFonts w:ascii="Times New Roman" w:hAnsi="Times New Roman" w:cstheme="majorBidi"/>
      <w:b/>
      <w:bCs/>
      <w:sz w:val="28"/>
      <w:szCs w:val="32"/>
    </w:rPr>
  </w:style>
  <w:style w:type="paragraph" w:styleId="3">
    <w:name w:val="heading 3"/>
    <w:basedOn w:val="1"/>
    <w:next w:val="1"/>
    <w:link w:val="9"/>
    <w:unhideWhenUsed/>
    <w:qFormat/>
    <w:uiPriority w:val="9"/>
    <w:pPr>
      <w:keepNext/>
      <w:keepLines/>
      <w:spacing w:line="312" w:lineRule="auto"/>
      <w:ind w:firstLine="0" w:firstLineChars="0"/>
      <w:outlineLvl w:val="2"/>
    </w:pPr>
    <w:rPr>
      <w:rFonts w:eastAsia="Times New Roman"/>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uiPriority w:val="9"/>
    <w:rPr>
      <w:rFonts w:ascii="Times New Roman" w:hAnsi="Times New Roman" w:eastAsia="宋体" w:cstheme="majorBidi"/>
      <w:b/>
      <w:bCs/>
      <w:sz w:val="28"/>
      <w:szCs w:val="32"/>
    </w:rPr>
  </w:style>
  <w:style w:type="character" w:customStyle="1" w:styleId="9">
    <w:name w:val="标题 3 Char"/>
    <w:basedOn w:val="7"/>
    <w:link w:val="3"/>
    <w:uiPriority w:val="9"/>
    <w:rPr>
      <w:rFonts w:eastAsia="Times New Roman"/>
      <w:b/>
      <w:bCs/>
      <w:sz w:val="32"/>
      <w:szCs w:val="32"/>
    </w:rPr>
  </w:style>
  <w:style w:type="character" w:customStyle="1" w:styleId="10">
    <w:name w:val="页眉 Char"/>
    <w:basedOn w:val="7"/>
    <w:link w:val="5"/>
    <w:qFormat/>
    <w:uiPriority w:val="99"/>
    <w:rPr>
      <w:rFonts w:eastAsia="宋体"/>
      <w:sz w:val="18"/>
      <w:szCs w:val="18"/>
    </w:rPr>
  </w:style>
  <w:style w:type="character" w:customStyle="1" w:styleId="11">
    <w:name w:val="页脚 Char"/>
    <w:basedOn w:val="7"/>
    <w:link w:val="4"/>
    <w:uiPriority w:val="99"/>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6383B-D403-4C20-9838-0E184F2D0911}">
  <ds:schemaRefs/>
</ds:datastoreItem>
</file>

<file path=docProps/app.xml><?xml version="1.0" encoding="utf-8"?>
<Properties xmlns="http://schemas.openxmlformats.org/officeDocument/2006/extended-properties" xmlns:vt="http://schemas.openxmlformats.org/officeDocument/2006/docPropsVTypes">
  <Template>Normal.dotm</Template>
  <Pages>2</Pages>
  <Words>201</Words>
  <Characters>1152</Characters>
  <Lines>9</Lines>
  <Paragraphs>2</Paragraphs>
  <TotalTime>22</TotalTime>
  <ScaleCrop>false</ScaleCrop>
  <LinksUpToDate>false</LinksUpToDate>
  <CharactersWithSpaces>1351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2018-06-24T23:20:00Z</dcterms:created>
  <dc:creator>huyurong</dc:creator>
  <cp:lastModifiedBy>admin</cp:lastModifiedBy>
  <dcterms:modified xsi:type="dcterms:W3CDTF">2019-09-16T03:23:09Z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