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fontTable.xml" ContentType="application/vnd.openxmlformats-officedocument.wordprocessingml.fontTable+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Relationship Id="rId2" Type="http://schemas.openxmlformats.org/officeDocument/2006/relationships/extended-properties" Target="docProps/app.xml"></Relationship><Relationship Id="rId3" Type="http://schemas.openxmlformats.org/officeDocument/2006/relationships/officeDocument" Target="word/document.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body>
    <w:p>
      <w:pPr>
        <w:numPr>
          <w:ilvl w:val="0"/>
          <w:numId w:val="0"/>
        </w:numPr>
        <w:jc w:val="both"/>
        <w:spacing w:lineRule="exact" w:line="440" w:before="0" w:after="0"/>
        <w:ind w:right="0" w:firstLine="0"/>
        <w:rPr>
          <w:color w:val="auto"/>
          <w:position w:val="0"/>
          <w:sz w:val="24"/>
          <w:szCs w:val="24"/>
          <w:rFonts w:ascii="黑体" w:eastAsia="黑体" w:hAnsi="黑体" w:hint="default"/>
        </w:rPr>
        <w:autoSpaceDE w:val="1"/>
        <w:autoSpaceDN w:val="1"/>
      </w:pPr>
      <w:r>
        <w:rPr>
          <w:color w:val="auto"/>
          <w:position w:val="0"/>
          <w:sz w:val="28"/>
          <w:szCs w:val="28"/>
          <w:rFonts w:ascii="Times New Roman" w:eastAsia="Times New Roman" w:hAnsi="Times New Roman" w:hint="default"/>
        </w:rPr>
        <w:t>附件4：</w:t>
      </w:r>
    </w:p>
    <w:p>
      <w:pPr>
        <w:numPr>
          <w:ilvl w:val="0"/>
          <w:numId w:val="0"/>
        </w:numPr>
        <w:jc w:val="center"/>
        <w:spacing w:lineRule="exact" w:line="440" w:before="0" w:after="0"/>
        <w:ind w:right="0" w:firstLine="0"/>
        <w:rPr>
          <w:b w:val="1"/>
          <w:color w:val="auto"/>
          <w:position w:val="0"/>
          <w:sz w:val="32"/>
          <w:szCs w:val="32"/>
          <w:rFonts w:ascii="宋体" w:eastAsia="宋体" w:hAnsi="宋体" w:hint="default"/>
        </w:rPr>
        <w:outlineLvl w:val="0"/>
        <w:autoSpaceDE w:val="1"/>
        <w:autoSpaceDN w:val="1"/>
      </w:pPr>
      <w:r>
        <w:rPr>
          <w:b w:val="1"/>
          <w:color w:val="auto"/>
          <w:position w:val="0"/>
          <w:sz w:val="32"/>
          <w:szCs w:val="32"/>
          <w:rFonts w:ascii="宋体" w:eastAsia="Times New Roman" w:hAnsi="Times New Roman" w:hint="default"/>
        </w:rPr>
        <w:t>2020年研究生入学考试自命题科目考试大纲</w:t>
      </w:r>
    </w:p>
    <w:p>
      <w:pPr>
        <w:numPr>
          <w:ilvl w:val="0"/>
          <w:numId w:val="0"/>
        </w:numPr>
        <w:jc w:val="center"/>
        <w:spacing w:lineRule="exact" w:line="440" w:before="0" w:after="0"/>
        <w:ind w:right="0" w:firstLine="0"/>
        <w:rPr>
          <w:b w:val="1"/>
          <w:color w:val="auto"/>
          <w:position w:val="0"/>
          <w:sz w:val="32"/>
          <w:szCs w:val="32"/>
          <w:rFonts w:ascii="宋体" w:eastAsia="宋体" w:hAnsi="宋体" w:hint="default"/>
        </w:rPr>
        <w:outlineLvl w:val="0"/>
        <w:autoSpaceDE w:val="1"/>
        <w:autoSpaceDN w:val="1"/>
      </w:pPr>
    </w:p>
    <w:p>
      <w:pPr>
        <w:numPr>
          <w:ilvl w:val="0"/>
          <w:numId w:val="0"/>
        </w:numPr>
        <w:jc w:val="both"/>
        <w:spacing w:lineRule="auto" w:line="240" w:before="0" w:after="0"/>
        <w:ind w:right="0" w:firstLine="0"/>
        <w:rPr>
          <w:color w:val="auto"/>
          <w:position w:val="0"/>
          <w:sz w:val="28"/>
          <w:szCs w:val="28"/>
          <w:rFonts w:ascii="宋体" w:eastAsia="宋体" w:hAnsi="宋体" w:hint="default"/>
        </w:rPr>
        <w:snapToGrid w:val="off"/>
        <w:autoSpaceDE w:val="1"/>
        <w:autoSpaceDN w:val="1"/>
      </w:pPr>
      <w:r>
        <w:rPr>
          <w:b w:val="1"/>
          <w:color w:val="auto"/>
          <w:position w:val="0"/>
          <w:sz w:val="24"/>
          <w:szCs w:val="24"/>
          <w:rFonts w:ascii="宋体" w:eastAsia="Times New Roman" w:hAnsi="Times New Roman" w:hint="default"/>
        </w:rPr>
        <w:t xml:space="preserve">考试科目代码：      考试科目名称: 建设法规</w:t>
      </w:r>
      <w:r>
        <w:rPr>
          <w:b w:val="1"/>
          <w:color w:val="auto"/>
          <w:position w:val="0"/>
          <w:sz w:val="28"/>
          <w:szCs w:val="28"/>
          <w:rFonts w:ascii="宋体" w:eastAsia="Times New Roman" w:hAnsi="Times New Roman" w:hint="default"/>
        </w:rPr>
        <w:t xml:space="preserve">       </w:t>
      </w:r>
    </w:p>
    <w:tbl>
      <w:tblID w:val="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op w:w="0" w:type="dxa"/>
          <w:right w:w="108" w:type="dxa"/>
          <w:bottom w:w="0" w:type="dxa"/>
        </w:tblCellMar>
        <w:tblW w:w="0" w:type="auto"/>
        <w:tblInd w:w="-432" w:type="dxa"/>
        <w:tblLook w:val="000000" w:firstRow="0" w:lastRow="0" w:firstColumn="0" w:lastColumn="0" w:noHBand="0" w:noVBand="0"/>
        <w:tblLayout w:type="auto"/>
      </w:tblPr>
      <w:tblGrid>
        <w:gridCol w:w="9180"/>
      </w:tblGrid>
      <w:tr>
        <w:trPr>
          <w:cnfStyle w:val="000000100000" w:firstRow="0" w:lastRow="0" w:firstColumn="0" w:lastColumn="0" w:oddVBand="0" w:evenVBand="0" w:oddHBand="1" w:evenHBand="0" w:firstRowFirstColumn="0" w:firstRowLastColumn="0" w:lastRowFirstColumn="0" w:lastRowLastColumn="0"/>
          <w:hidden w:val="0"/>
        </w:trPr>
        <w:tc>
          <w:tcPr>
            <w:tcW w:type="dxa" w:w="9180"/>
            <w:cnfStyle w:val="000010100000" w:firstRow="0" w:lastRow="0" w:firstColumn="0" w:lastColumn="0" w:oddVBand="1" w:evenVBand="0" w:oddHBand="1" w:evenHBand="0" w:firstRowFirstColumn="0" w:firstRowLastColumn="0" w:lastRowFirstColumn="0" w:lastRowLastColumn="0"/>
            <w:vAlign w:val="top"/>
            <w:tcBorders>
              <w:bottom w:val="single" w:color="auto" w:sz="4"/>
              <w:left w:val="single" w:color="auto" w:sz="4"/>
              <w:right w:val="single" w:color="auto" w:sz="4"/>
              <w:top w:val="single" w:color="auto" w:sz="4"/>
            </w:tcBorders>
          </w:tcPr>
          <w:p>
            <w:pPr>
              <w:numPr>
                <w:ilvl w:val="0"/>
                <w:numId w:val="0"/>
              </w:numPr>
              <w:jc w:val="both"/>
              <w:spacing w:lineRule="auto" w:line="240" w:before="0" w:after="0"/>
              <w:ind w:right="0" w:firstLine="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 xml:space="preserve">考试内容范围: </w:t>
            </w:r>
          </w:p>
          <w:p>
            <w:pPr>
              <w:numPr>
                <w:ilvl w:val="0"/>
                <w:numId w:val="0"/>
              </w:numPr>
              <w:jc w:val="both"/>
              <w:spacing w:lineRule="exact" w:line="300" w:before="0" w:after="0"/>
              <w:ind w:right="0" w:firstLine="0"/>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一、概论</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1．了解建设法规的构成。</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2．掌握建设法规中法的效力层级。</w:t>
            </w:r>
          </w:p>
          <w:p>
            <w:pPr>
              <w:numPr>
                <w:ilvl w:val="0"/>
                <w:numId w:val="0"/>
              </w:numPr>
              <w:jc w:val="both"/>
              <w:spacing w:lineRule="exact" w:line="300" w:before="0" w:after="0"/>
              <w:ind w:right="0" w:firstLine="0"/>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二、工程建设法律基础</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1．了解民事法律关系的构成要素；债的发生根据。</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2．熟悉代理；建设用地使用权的设立；建设用地使用权人的权利和义务。</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3．掌握诉讼时效。</w:t>
            </w:r>
          </w:p>
          <w:p>
            <w:pPr>
              <w:numPr>
                <w:ilvl w:val="0"/>
                <w:numId w:val="0"/>
              </w:numPr>
              <w:jc w:val="both"/>
              <w:spacing w:lineRule="exact" w:line="300" w:before="0" w:after="0"/>
              <w:ind w:right="0" w:firstLine="0"/>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三、合同法</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1．了解合同的形式；合同的基本条款；缔约过失责任；附条件和附期限合同；合同的变更和转</w:t>
            </w:r>
            <w:r>
              <w:rPr>
                <w:color w:val="auto"/>
                <w:position w:val="0"/>
                <w:sz w:val="21"/>
                <w:szCs w:val="21"/>
                <w:rFonts w:ascii="Times New Roman" w:eastAsia="Times New Roman" w:hAnsi="Times New Roman" w:hint="default"/>
              </w:rPr>
              <w:t>让；合同的权利义务终止。</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2．熟悉合同的订立；抗辩权；代位权；撤销权。</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3．掌握合同的效力；合同条款空缺；违约责任。</w:t>
            </w:r>
          </w:p>
          <w:p>
            <w:pPr>
              <w:numPr>
                <w:ilvl w:val="0"/>
                <w:numId w:val="0"/>
              </w:numPr>
              <w:jc w:val="both"/>
              <w:spacing w:lineRule="exact" w:line="300" w:before="0" w:after="0"/>
              <w:ind w:right="0" w:firstLine="0"/>
              <w:rPr>
                <w:color w:val="auto"/>
                <w:position w:val="0"/>
                <w:sz w:val="24"/>
                <w:szCs w:val="24"/>
                <w:rFonts w:ascii="Times New Roman" w:eastAsia="Times New Roman" w:hAnsi="Times New Roman" w:hint="default"/>
              </w:rPr>
              <w:autoSpaceDE w:val="1"/>
              <w:autoSpaceDN w:val="1"/>
            </w:pPr>
            <w:r>
              <w:rPr>
                <w:color w:val="auto"/>
                <w:position w:val="0"/>
                <w:sz w:val="24"/>
                <w:szCs w:val="24"/>
                <w:rFonts w:ascii="Times New Roman" w:eastAsia="Times New Roman" w:hAnsi="Times New Roman" w:hint="default"/>
              </w:rPr>
              <w:t>四、招标投标法</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1．了解招标组织形式；招标应具备的条件与招标方式；招标公告或投标邀请书；资格审查。</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2．熟悉招标投标活动的适用范围；投标文件；开标。</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3．掌握招标文件；投标人；评标；中标。</w:t>
            </w:r>
          </w:p>
          <w:p>
            <w:pPr>
              <w:pStyle w:val="PO28"/>
              <w:numPr>
                <w:ilvl w:val="0"/>
                <w:numId w:val="0"/>
              </w:numPr>
              <w:jc w:val="left"/>
              <w:spacing w:lineRule="exact" w:line="280" w:before="0" w:after="0"/>
              <w:ind w:right="0" w:firstLine="0"/>
              <w:tabs>
                <w:tab w:val="right" w:leader="dot" w:pos="9345"/>
                <w:tab w:val="right" w:leader="dot" w:pos="9345"/>
              </w:tabs>
              <w:rPr>
                <w:color w:val="auto"/>
                <w:position w:val="0"/>
                <w:sz w:val="24"/>
                <w:szCs w:val="24"/>
                <w:caps/>
                <w:rFonts w:ascii="宋体" w:eastAsia="宋体" w:hAnsi="宋体" w:hint="default"/>
              </w:rPr>
              <w:snapToGrid w:val="off"/>
              <w:autoSpaceDE w:val="1"/>
              <w:autoSpaceDN w:val="1"/>
            </w:pPr>
            <w:r>
              <w:rPr>
                <w:color w:val="auto"/>
                <w:position w:val="0"/>
                <w:sz w:val="24"/>
                <w:szCs w:val="24"/>
                <w:caps/>
                <w:rFonts w:ascii="宋体" w:eastAsia="宋体" w:hAnsi="宋体" w:hint="default"/>
              </w:rPr>
              <w:t>五、建筑法</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1．了解申请领取施工许可证的工程范围；禁止将建设工程肢解发包和指定采购。</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2．熟悉《建筑工程施工许可管理办法》规定的申请领取施工许可证应当具备的条件；工程监理</w:t>
            </w:r>
            <w:r>
              <w:rPr>
                <w:color w:val="auto"/>
                <w:position w:val="0"/>
                <w:sz w:val="21"/>
                <w:szCs w:val="21"/>
                <w:rFonts w:ascii="Times New Roman" w:eastAsia="Times New Roman" w:hAnsi="Times New Roman" w:hint="default"/>
              </w:rPr>
              <w:t>的依据、内容和权限。</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3．掌握承包。</w:t>
            </w:r>
          </w:p>
          <w:p>
            <w:pPr>
              <w:pStyle w:val="PO28"/>
              <w:numPr>
                <w:ilvl w:val="0"/>
                <w:numId w:val="0"/>
              </w:numPr>
              <w:jc w:val="left"/>
              <w:spacing w:lineRule="exact" w:line="280" w:before="0" w:after="0"/>
              <w:ind w:right="0" w:firstLine="0"/>
              <w:tabs>
                <w:tab w:val="right" w:leader="dot" w:pos="9345"/>
                <w:tab w:val="right" w:leader="dot" w:pos="9345"/>
              </w:tabs>
              <w:rPr>
                <w:color w:val="auto"/>
                <w:position w:val="0"/>
                <w:sz w:val="24"/>
                <w:szCs w:val="24"/>
                <w:caps/>
                <w:rFonts w:ascii="宋体" w:eastAsia="宋体" w:hAnsi="宋体" w:hint="default"/>
              </w:rPr>
              <w:snapToGrid w:val="off"/>
              <w:autoSpaceDE w:val="1"/>
              <w:autoSpaceDN w:val="1"/>
            </w:pPr>
            <w:r>
              <w:rPr>
                <w:color w:val="auto"/>
                <w:position w:val="0"/>
                <w:sz w:val="24"/>
                <w:szCs w:val="24"/>
                <w:caps/>
                <w:rFonts w:ascii="宋体" w:eastAsia="宋体" w:hAnsi="宋体" w:hint="default"/>
              </w:rPr>
              <w:t>六、建设工程安全生产管理条例</w:t>
            </w:r>
          </w:p>
          <w:p>
            <w:pPr>
              <w:numPr>
                <w:ilvl w:val="0"/>
                <w:numId w:val="0"/>
              </w:numPr>
              <w:jc w:val="both"/>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1．了解建设单位的安全责任；生产安全事故的应急救援与调查处理。</w:t>
            </w:r>
          </w:p>
          <w:p>
            <w:pPr>
              <w:numPr>
                <w:ilvl w:val="0"/>
                <w:numId w:val="0"/>
              </w:numPr>
              <w:jc w:val="both"/>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2．熟悉监理单位的安全责任；从业人员安全生产的权利和义务。</w:t>
            </w:r>
          </w:p>
          <w:p>
            <w:pPr>
              <w:numPr>
                <w:ilvl w:val="0"/>
                <w:numId w:val="0"/>
              </w:numPr>
              <w:jc w:val="both"/>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3．掌握施工单位的安全责任。</w:t>
            </w:r>
          </w:p>
          <w:p>
            <w:pPr>
              <w:pStyle w:val="PO28"/>
              <w:numPr>
                <w:ilvl w:val="0"/>
                <w:numId w:val="0"/>
              </w:numPr>
              <w:jc w:val="left"/>
              <w:spacing w:lineRule="exact" w:line="280" w:before="0" w:after="0"/>
              <w:ind w:right="0" w:firstLine="0"/>
              <w:tabs>
                <w:tab w:val="right" w:leader="dot" w:pos="9345"/>
                <w:tab w:val="right" w:leader="dot" w:pos="9345"/>
              </w:tabs>
              <w:rPr>
                <w:color w:val="auto"/>
                <w:position w:val="0"/>
                <w:sz w:val="24"/>
                <w:szCs w:val="24"/>
                <w:caps/>
                <w:rFonts w:ascii="宋体" w:eastAsia="宋体" w:hAnsi="宋体" w:hint="default"/>
              </w:rPr>
              <w:snapToGrid w:val="off"/>
              <w:autoSpaceDE w:val="1"/>
              <w:autoSpaceDN w:val="1"/>
            </w:pPr>
            <w:r>
              <w:rPr>
                <w:color w:val="auto"/>
                <w:position w:val="0"/>
                <w:sz w:val="24"/>
                <w:szCs w:val="24"/>
                <w:caps/>
                <w:rFonts w:ascii="宋体" w:eastAsia="宋体" w:hAnsi="宋体" w:hint="default"/>
              </w:rPr>
              <w:t>七、建设工程质量管理条例</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1．了解建设单位的质量责任；工程质量事故报告制度。</w:t>
            </w:r>
          </w:p>
          <w:p>
            <w:pPr>
              <w:numPr>
                <w:ilvl w:val="0"/>
                <w:numId w:val="0"/>
              </w:numPr>
              <w:jc w:val="both"/>
              <w:spacing w:lineRule="exact" w:line="30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2．熟悉监理单位的质量责任；竣工验收备案制度。</w:t>
            </w:r>
          </w:p>
          <w:p>
            <w:pPr>
              <w:numPr>
                <w:ilvl w:val="0"/>
                <w:numId w:val="0"/>
              </w:numPr>
              <w:jc w:val="left"/>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3．掌握施工单位的质量责任；保修范围和最低保修期限。</w:t>
            </w:r>
          </w:p>
          <w:p>
            <w:pPr>
              <w:pStyle w:val="PO28"/>
              <w:numPr>
                <w:ilvl w:val="0"/>
                <w:numId w:val="0"/>
              </w:numPr>
              <w:jc w:val="left"/>
              <w:spacing w:lineRule="exact" w:line="280" w:before="0" w:after="0"/>
              <w:ind w:right="0" w:firstLine="0"/>
              <w:tabs>
                <w:tab w:val="right" w:leader="dot" w:pos="9345"/>
                <w:tab w:val="right" w:leader="dot" w:pos="9345"/>
              </w:tabs>
              <w:rPr>
                <w:color w:val="auto"/>
                <w:position w:val="0"/>
                <w:sz w:val="24"/>
                <w:szCs w:val="24"/>
                <w:caps/>
                <w:rFonts w:ascii="宋体" w:eastAsia="宋体" w:hAnsi="宋体" w:hint="default"/>
              </w:rPr>
              <w:snapToGrid w:val="off"/>
              <w:autoSpaceDE w:val="1"/>
              <w:autoSpaceDN w:val="1"/>
            </w:pPr>
            <w:r>
              <w:rPr>
                <w:color w:val="auto"/>
                <w:position w:val="0"/>
                <w:sz w:val="24"/>
                <w:szCs w:val="24"/>
                <w:caps/>
                <w:rFonts w:ascii="宋体" w:eastAsia="宋体" w:hAnsi="宋体" w:hint="default"/>
              </w:rPr>
              <w:t>八、仲裁法</w:t>
            </w:r>
          </w:p>
          <w:p>
            <w:pPr>
              <w:numPr>
                <w:ilvl w:val="0"/>
                <w:numId w:val="0"/>
              </w:numPr>
              <w:jc w:val="left"/>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1．了解仲裁管辖；仲裁的基本特点；仲裁裁决的撤销与不予受理。</w:t>
            </w:r>
          </w:p>
          <w:p>
            <w:pPr>
              <w:pStyle w:val="PO28"/>
              <w:numPr>
                <w:ilvl w:val="0"/>
                <w:numId w:val="0"/>
              </w:numPr>
              <w:jc w:val="left"/>
              <w:spacing w:lineRule="exact" w:line="280" w:before="0" w:after="0"/>
              <w:ind w:right="0" w:firstLine="420"/>
              <w:tabs>
                <w:tab w:val="right" w:leader="dot" w:pos="9345"/>
                <w:tab w:val="right" w:leader="dot" w:pos="9345"/>
              </w:tabs>
              <w:rPr>
                <w:color w:val="auto"/>
                <w:position w:val="0"/>
                <w:sz w:val="21"/>
                <w:szCs w:val="21"/>
                <w:caps/>
                <w:rFonts w:ascii="宋体" w:eastAsia="宋体" w:hAnsi="宋体" w:hint="default"/>
              </w:rPr>
              <w:snapToGrid w:val="off"/>
              <w:autoSpaceDE w:val="1"/>
              <w:autoSpaceDN w:val="1"/>
            </w:pPr>
            <w:r>
              <w:rPr>
                <w:color w:val="auto"/>
                <w:position w:val="0"/>
                <w:sz w:val="21"/>
                <w:szCs w:val="21"/>
                <w:caps/>
                <w:rFonts w:ascii="宋体" w:eastAsia="宋体" w:hAnsi="宋体" w:hint="default"/>
              </w:rPr>
              <w:t>2．熟悉仲裁协议；申请和受理；开庭和裁决。</w:t>
            </w:r>
          </w:p>
          <w:p>
            <w:pPr>
              <w:pStyle w:val="PO28"/>
              <w:numPr>
                <w:ilvl w:val="0"/>
                <w:numId w:val="0"/>
              </w:numPr>
              <w:jc w:val="left"/>
              <w:spacing w:lineRule="exact" w:line="280" w:before="0" w:after="0"/>
              <w:ind w:right="0" w:firstLine="420"/>
              <w:tabs>
                <w:tab w:val="right" w:leader="dot" w:pos="9345"/>
                <w:tab w:val="right" w:leader="dot" w:pos="9345"/>
              </w:tabs>
              <w:rPr>
                <w:color w:val="auto"/>
                <w:position w:val="0"/>
                <w:sz w:val="21"/>
                <w:szCs w:val="21"/>
                <w:caps/>
                <w:rFonts w:ascii="宋体" w:eastAsia="宋体" w:hAnsi="宋体" w:hint="default"/>
              </w:rPr>
              <w:snapToGrid w:val="off"/>
              <w:autoSpaceDE w:val="1"/>
              <w:autoSpaceDN w:val="1"/>
            </w:pPr>
            <w:r>
              <w:rPr>
                <w:color w:val="auto"/>
                <w:position w:val="0"/>
                <w:sz w:val="21"/>
                <w:szCs w:val="21"/>
                <w:caps/>
                <w:rFonts w:ascii="宋体" w:eastAsia="宋体" w:hAnsi="宋体" w:hint="default"/>
              </w:rPr>
              <w:t>3．掌握仲裁庭的组成。</w:t>
            </w:r>
          </w:p>
          <w:p>
            <w:pPr>
              <w:numPr>
                <w:ilvl w:val="0"/>
                <w:numId w:val="0"/>
              </w:numPr>
              <w:jc w:val="both"/>
              <w:spacing w:lineRule="auto" w:line="240"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九、民事诉讼法</w:t>
            </w:r>
          </w:p>
          <w:p>
            <w:pPr>
              <w:numPr>
                <w:ilvl w:val="0"/>
                <w:numId w:val="0"/>
              </w:numPr>
              <w:jc w:val="left"/>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1．了解民事诉讼法律基本制度。</w:t>
            </w:r>
          </w:p>
          <w:p>
            <w:pPr>
              <w:pStyle w:val="PO28"/>
              <w:numPr>
                <w:ilvl w:val="0"/>
                <w:numId w:val="0"/>
              </w:numPr>
              <w:jc w:val="left"/>
              <w:spacing w:lineRule="exact" w:line="280" w:before="0" w:after="0"/>
              <w:ind w:right="0" w:firstLine="420"/>
              <w:tabs>
                <w:tab w:val="right" w:leader="dot" w:pos="9345"/>
                <w:tab w:val="right" w:leader="dot" w:pos="9345"/>
              </w:tabs>
              <w:rPr>
                <w:color w:val="auto"/>
                <w:position w:val="0"/>
                <w:sz w:val="21"/>
                <w:szCs w:val="21"/>
                <w:caps/>
                <w:rFonts w:ascii="宋体" w:eastAsia="宋体" w:hAnsi="宋体" w:hint="default"/>
              </w:rPr>
              <w:snapToGrid w:val="off"/>
              <w:autoSpaceDE w:val="1"/>
              <w:autoSpaceDN w:val="1"/>
            </w:pPr>
            <w:r>
              <w:rPr>
                <w:color w:val="auto"/>
                <w:position w:val="0"/>
                <w:sz w:val="21"/>
                <w:szCs w:val="21"/>
                <w:caps/>
                <w:rFonts w:ascii="宋体" w:eastAsia="宋体" w:hAnsi="宋体" w:hint="default"/>
              </w:rPr>
              <w:t>2．熟悉级别管辖；地域管辖；协议管辖；证据；审判程序；执行程序。</w:t>
            </w:r>
          </w:p>
          <w:p>
            <w:pPr>
              <w:pStyle w:val="PO28"/>
              <w:numPr>
                <w:ilvl w:val="0"/>
                <w:numId w:val="0"/>
              </w:numPr>
              <w:jc w:val="left"/>
              <w:spacing w:lineRule="exact" w:line="280" w:before="0" w:after="0"/>
              <w:ind w:right="0" w:firstLine="420"/>
              <w:tabs>
                <w:tab w:val="right" w:leader="dot" w:pos="9345"/>
                <w:tab w:val="right" w:leader="dot" w:pos="9345"/>
              </w:tabs>
              <w:rPr>
                <w:color w:val="auto"/>
                <w:position w:val="0"/>
                <w:sz w:val="21"/>
                <w:szCs w:val="21"/>
                <w:caps/>
                <w:rFonts w:ascii="宋体" w:eastAsia="宋体" w:hAnsi="宋体" w:hint="default"/>
              </w:rPr>
              <w:snapToGrid w:val="off"/>
              <w:autoSpaceDE w:val="1"/>
              <w:autoSpaceDN w:val="1"/>
            </w:pPr>
            <w:r>
              <w:rPr>
                <w:color w:val="auto"/>
                <w:position w:val="0"/>
                <w:sz w:val="21"/>
                <w:szCs w:val="21"/>
                <w:caps/>
                <w:rFonts w:ascii="宋体" w:eastAsia="宋体" w:hAnsi="宋体" w:hint="default"/>
              </w:rPr>
              <w:t>3．掌握专属管辖。</w:t>
            </w:r>
          </w:p>
          <w:p>
            <w:pPr>
              <w:numPr>
                <w:ilvl w:val="0"/>
                <w:numId w:val="0"/>
              </w:numPr>
              <w:jc w:val="both"/>
              <w:spacing w:lineRule="auto" w:line="240"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十、司法解释</w:t>
            </w:r>
          </w:p>
          <w:p>
            <w:pPr>
              <w:numPr>
                <w:ilvl w:val="0"/>
                <w:numId w:val="0"/>
              </w:numPr>
              <w:jc w:val="left"/>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1．熟悉《最高人民法院关于建设工程价款优先受偿权问题的批复》。</w:t>
            </w:r>
          </w:p>
          <w:p>
            <w:pPr>
              <w:pStyle w:val="PO28"/>
              <w:numPr>
                <w:ilvl w:val="0"/>
                <w:numId w:val="0"/>
              </w:numPr>
              <w:jc w:val="left"/>
              <w:spacing w:lineRule="exact" w:line="280" w:before="0" w:after="0"/>
              <w:ind w:right="0" w:firstLine="420"/>
              <w:tabs>
                <w:tab w:val="right" w:leader="dot" w:pos="9345"/>
                <w:tab w:val="right" w:leader="dot" w:pos="9345"/>
              </w:tabs>
              <w:rPr>
                <w:color w:val="auto"/>
                <w:position w:val="0"/>
                <w:sz w:val="21"/>
                <w:szCs w:val="21"/>
                <w:caps/>
                <w:rFonts w:ascii="宋体" w:eastAsia="宋体" w:hAnsi="宋体" w:hint="default"/>
              </w:rPr>
              <w:snapToGrid w:val="off"/>
              <w:autoSpaceDE w:val="1"/>
              <w:autoSpaceDN w:val="1"/>
            </w:pPr>
            <w:r>
              <w:rPr>
                <w:color w:val="auto"/>
                <w:position w:val="0"/>
                <w:sz w:val="21"/>
                <w:szCs w:val="21"/>
                <w:caps/>
                <w:rFonts w:ascii="宋体" w:eastAsia="宋体" w:hAnsi="宋体" w:hint="default"/>
              </w:rPr>
              <w:t>2．掌握《最高人民法院关于审理建设工程施工合同纠纷案件适用法律问题的解释》。</w:t>
            </w:r>
          </w:p>
          <w:p>
            <w:pPr>
              <w:numPr>
                <w:ilvl w:val="0"/>
                <w:numId w:val="0"/>
              </w:numPr>
              <w:jc w:val="both"/>
              <w:spacing w:lineRule="auto" w:line="240" w:before="0" w:after="0"/>
              <w:ind w:right="0" w:firstLine="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十一、建设工程纠纷的解决</w:t>
            </w:r>
          </w:p>
          <w:p>
            <w:pPr>
              <w:numPr>
                <w:ilvl w:val="0"/>
                <w:numId w:val="0"/>
              </w:numPr>
              <w:jc w:val="left"/>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1．了解行政纠纷。</w:t>
            </w:r>
          </w:p>
          <w:p>
            <w:pPr>
              <w:numPr>
                <w:ilvl w:val="0"/>
                <w:numId w:val="0"/>
              </w:numPr>
              <w:jc w:val="left"/>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2．熟悉建设工程民事纠纷的解决。</w:t>
            </w:r>
          </w:p>
          <w:p>
            <w:pPr>
              <w:numPr>
                <w:ilvl w:val="0"/>
                <w:numId w:val="0"/>
              </w:numPr>
              <w:jc w:val="left"/>
              <w:spacing w:lineRule="auto" w:line="240" w:before="0" w:after="0"/>
              <w:ind w:right="0" w:left="480" w:hanging="480"/>
              <w:rPr>
                <w:color w:val="000000"/>
                <w:position w:val="0"/>
                <w:sz w:val="24"/>
                <w:szCs w:val="24"/>
                <w:rFonts w:ascii="宋体" w:eastAsia="宋体" w:hAnsi="宋体" w:hint="default"/>
              </w:rPr>
              <w:autoSpaceDE w:val="1"/>
              <w:autoSpaceDN w:val="1"/>
            </w:pPr>
          </w:p>
        </w:tc>
      </w:tr>
      <w:tr>
        <w:trPr>
          <w:cnfStyle w:val="000000010000" w:firstRow="0" w:lastRow="0" w:firstColumn="0" w:lastColumn="0" w:oddVBand="0" w:evenVBand="0" w:oddHBand="0" w:evenHBand="1" w:firstRowFirstColumn="0" w:firstRowLastColumn="0" w:lastRowFirstColumn="0" w:lastRowLastColumn="0"/>
          <w:trHeight w:hRule="atleast" w:val="2693"/>
          <w:hidden w:val="0"/>
        </w:trPr>
        <w:tc>
          <w:tcPr>
            <w:tcW w:type="dxa" w:w="9180"/>
            <w:cnfStyle w:val="000010010000" w:firstRow="0" w:lastRow="0" w:firstColumn="0" w:lastColumn="0" w:oddVBand="1" w:evenVBand="0" w:oddHBand="0" w:evenHBand="1" w:firstRowFirstColumn="0" w:firstRowLastColumn="0" w:lastRowFirstColumn="0" w:lastRowLastColumn="0"/>
            <w:vAlign w:val="top"/>
            <w:tcBorders>
              <w:bottom w:val="single" w:color="auto" w:sz="4"/>
              <w:left w:val="single" w:color="auto" w:sz="4"/>
              <w:right w:val="single" w:color="auto" w:sz="4"/>
              <w:top w:val="single" w:color="auto" w:sz="4"/>
            </w:tcBorders>
          </w:tcPr>
          <w:p>
            <w:pPr>
              <w:numPr>
                <w:ilvl w:val="0"/>
                <w:numId w:val="0"/>
              </w:numPr>
              <w:jc w:val="both"/>
              <w:spacing w:lineRule="auto" w:line="240" w:before="0" w:after="0"/>
              <w:ind w:right="0" w:firstLine="0"/>
              <w:rPr>
                <w:color w:val="auto"/>
                <w:position w:val="0"/>
                <w:sz w:val="24"/>
                <w:szCs w:val="24"/>
                <w:rFonts w:ascii="宋体" w:eastAsia="宋体" w:hAnsi="宋体" w:hint="default"/>
              </w:rPr>
              <w:autoSpaceDE w:val="1"/>
              <w:autoSpaceDN w:val="1"/>
            </w:pPr>
          </w:p>
          <w:p>
            <w:pPr>
              <w:numPr>
                <w:ilvl w:val="0"/>
                <w:numId w:val="0"/>
              </w:numPr>
              <w:jc w:val="both"/>
              <w:spacing w:lineRule="auto" w:line="240" w:before="0" w:after="0"/>
              <w:ind w:right="0" w:firstLine="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 xml:space="preserve">考试总分：100分     考试时间：2小时    考试方式：笔试</w:t>
            </w:r>
          </w:p>
          <w:p>
            <w:pPr>
              <w:pStyle w:val="PO152"/>
              <w:numPr>
                <w:ilvl w:val="0"/>
                <w:numId w:val="0"/>
              </w:numPr>
              <w:jc w:val="both"/>
              <w:spacing w:lineRule="auto" w:line="240" w:before="0" w:after="0"/>
              <w:ind w:right="0" w:firstLine="0"/>
              <w:rPr>
                <w:color w:val="auto"/>
                <w:position w:val="0"/>
                <w:sz w:val="24"/>
                <w:szCs w:val="24"/>
                <w:rFonts w:ascii="宋体" w:eastAsia="Times New Roman" w:hAnsi="Times New Roman" w:hint="default"/>
              </w:rPr>
              <w:autoSpaceDE w:val="1"/>
              <w:autoSpaceDN w:val="1"/>
            </w:pPr>
            <w:r>
              <w:rPr>
                <w:color w:val="auto"/>
                <w:position w:val="0"/>
                <w:sz w:val="24"/>
                <w:szCs w:val="24"/>
                <w:rFonts w:ascii="宋体" w:eastAsia="Times New Roman" w:hAnsi="Times New Roman" w:hint="default"/>
              </w:rPr>
              <w:t xml:space="preserve">考试题型： 判断题（40分）</w:t>
            </w:r>
          </w:p>
          <w:p>
            <w:pPr>
              <w:pStyle w:val="PO152"/>
              <w:numPr>
                <w:ilvl w:val="0"/>
                <w:numId w:val="0"/>
              </w:numPr>
              <w:jc w:val="both"/>
              <w:spacing w:lineRule="auto" w:line="240" w:before="0" w:after="0"/>
              <w:ind w:right="0" w:firstLine="132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选择题（20分）</w:t>
            </w:r>
          </w:p>
          <w:p>
            <w:pPr>
              <w:pStyle w:val="PO152"/>
              <w:numPr>
                <w:ilvl w:val="0"/>
                <w:numId w:val="0"/>
              </w:numPr>
              <w:jc w:val="both"/>
              <w:spacing w:lineRule="auto" w:line="240" w:before="0" w:after="0"/>
              <w:ind w:right="0" w:firstLine="132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简答题（10分）</w:t>
            </w:r>
          </w:p>
          <w:p>
            <w:pPr>
              <w:pStyle w:val="PO152"/>
              <w:numPr>
                <w:ilvl w:val="0"/>
                <w:numId w:val="0"/>
              </w:numPr>
              <w:jc w:val="both"/>
              <w:spacing w:lineRule="auto" w:line="240" w:before="0" w:after="0"/>
              <w:ind w:right="0" w:firstLine="1320"/>
              <w:rPr>
                <w:color w:val="auto"/>
                <w:position w:val="0"/>
                <w:sz w:val="24"/>
                <w:szCs w:val="24"/>
                <w:rFonts w:ascii="宋体" w:eastAsia="宋体" w:hAnsi="宋体" w:hint="default"/>
              </w:rPr>
              <w:autoSpaceDE w:val="1"/>
              <w:autoSpaceDN w:val="1"/>
            </w:pPr>
            <w:r>
              <w:rPr>
                <w:color w:val="auto"/>
                <w:position w:val="0"/>
                <w:sz w:val="24"/>
                <w:szCs w:val="24"/>
                <w:rFonts w:ascii="宋体" w:eastAsia="Times New Roman" w:hAnsi="Times New Roman" w:hint="default"/>
              </w:rPr>
              <w:t>案例题（30分）</w:t>
            </w:r>
          </w:p>
        </w:tc>
      </w:tr>
    </w:tbl>
    <w:p>
      <w:pPr>
        <w:numPr>
          <w:ilvl w:val="0"/>
          <w:numId w:val="0"/>
        </w:numPr>
        <w:jc w:val="both"/>
        <w:spacing w:lineRule="auto" w:line="240" w:before="0" w:after="0"/>
        <w:ind w:right="0" w:firstLine="420"/>
        <w:rPr>
          <w:color w:val="auto"/>
          <w:position w:val="0"/>
          <w:sz w:val="21"/>
          <w:szCs w:val="21"/>
          <w:rFonts w:ascii="Times New Roman" w:eastAsia="Times New Roman" w:hAnsi="Times New Roman" w:hint="default"/>
        </w:rPr>
        <w:autoSpaceDE w:val="1"/>
        <w:autoSpaceDN w:val="1"/>
      </w:pPr>
      <w:r>
        <w:rPr>
          <w:color w:val="auto"/>
          <w:position w:val="0"/>
          <w:sz w:val="21"/>
          <w:szCs w:val="21"/>
          <w:rFonts w:ascii="Times New Roman" w:eastAsia="Times New Roman" w:hAnsi="Times New Roman" w:hint="default"/>
        </w:rPr>
        <w:t>参考书目：顾永才、孙敬香，2018年3月．建设法规（第三版）．北京：科学出版社</w:t>
      </w:r>
    </w:p>
    <w:sectPr>
      <w:headerReference w:type="even" r:id="rId5"/>
      <w:headerReference w:type="default" r:id="rId6"/>
      <w:footerReference w:type="even" r:id="rId7"/>
      <w:footerReference w:type="default" r:id="rId8"/>
      <w:headerReference w:type="first" r:id="rId9"/>
      <w:footerReference w:type="first" r:id="rId10"/>
      <w:pgSz w:w="11906" w:h="16838"/>
      <w:pgMar w:top="1440" w:left="1800" w:bottom="1440" w:right="1800" w:header="851" w:footer="992" w:gutter="0"/>
      <w:pgNumType w:fmt="decimal"/>
      <w:docGrid w:type="lines" w:linePitch="312" w:charSpace="0"/>
    </w:sectPr>
  </w:body>
</w:document>
</file>

<file path=word/fontTable.xml><?xml version="1.0" encoding="utf-8"?>
<w:fonts xmlns:r="http://schemas.openxmlformats.org/officeDocument/2006/relationships" xmlns:w="http://schemas.openxmlformats.org/wordprocessingml/2006/main">
  <w:font w:name="宋体">
    <w:panose1 w:val="020F0502020204030204"/>
    <w:charset w:val="0"/>
    <w:family w:val="mordern"/>
    <w:pitch w:val="variable"/>
    <w:sig w:usb0="A00002EF" w:usb1="4000207B" w:usb2="00000000" w:usb3="00000000" w:csb0="FFFFFFFF" w:csb1="00000000"/>
  </w:font>
  <w:font w:name="Calibri">
    <w:panose1 w:val="020F0502020204030204"/>
    <w:charset w:val="0"/>
    <w:family w:val="mordern"/>
    <w:pitch w:val="variable"/>
    <w:sig w:usb0="A00002EF" w:usb1="4000207B" w:usb2="00000000" w:usb3="00000000" w:csb0="FFFFFFFF" w:csb1="00000000"/>
  </w:font>
  <w:font w:name="Wingdings">
    <w:panose1 w:val="020F0502020204030204"/>
    <w:charset w:val="0"/>
    <w:family w:val="mordern"/>
    <w:pitch w:val="variable"/>
    <w:sig w:usb0="A00002EF" w:usb1="4000207B" w:usb2="00000000" w:usb3="00000000" w:csb0="FFFFFFFF" w:csb1="00000000"/>
  </w:font>
  <w:font w:name="Times New Roman">
    <w:panose1 w:val="020F0502020204030204"/>
    <w:charset w:val="0"/>
    <w:family w:val="mordern"/>
    <w:pitch w:val="variable"/>
    <w:sig w:usb0="A00002EF" w:usb1="4000207B" w:usb2="00000000" w:usb3="00000000" w:csb0="FFFFFFFF" w:csb1="00000000"/>
  </w:font>
  <w:font w:name="黑体">
    <w:panose1 w:val="020F0502020204030204"/>
    <w:charset w:val="0"/>
    <w:family w:val="mordern"/>
    <w:pitch w:val="variable"/>
    <w:sig w:usb0="A00002EF" w:usb1="4000207B" w:usb2="00000000" w:usb3="00000000" w:csb0="FFFFFFFF" w:csb1="00000000"/>
  </w:font>
  <w:font w:name="맑은 고딕">
    <w:panose1 w:val="020F0502020204030204"/>
    <w:charset w:val="0"/>
    <w:family w:val="mordern"/>
    <w:pitch w:val="variable"/>
    <w:sig w:usb0="A00002EF" w:usb1="4000207B" w:usb2="00000000" w:usb3="00000000" w:csb0="FFFFFFFF" w:csb1="00000000"/>
  </w:font>
</w:fonts>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p>
    <w:pPr>
      <w:pStyle w:val="PO156"/>
      <w:numPr>
        <w:ilvl w:val="0"/>
        <w:numId w:val="0"/>
      </w:numPr>
      <w:jc w:val="left"/>
      <w:spacing w:lineRule="auto" w:line="240" w:before="0" w:after="0"/>
      <w:ind w:right="0" w:firstLine="0"/>
      <w:tabs>
        <w:tab w:val="center" w:pos="4153"/>
        <w:tab w:val="center" w:pos="4153"/>
        <w:tab w:val="right" w:pos="8306"/>
        <w:tab w:val="right" w:pos="8306"/>
      </w:tabs>
      <w:rPr>
        <w:color w:val="auto"/>
        <w:position w:val="0"/>
        <w:sz w:val="18"/>
        <w:szCs w:val="18"/>
        <w:rFonts w:ascii="Times New Roman" w:eastAsia="Times New Roman" w:hAnsi="Times New Roman" w:hint="default"/>
      </w:rPr>
      <w:snapToGrid w:val="off"/>
      <w:autoSpaceDE w:val="1"/>
      <w:autoSpaceDN w:val="1"/>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p>
    <w:pPr>
      <w:pStyle w:val="PO156"/>
      <w:numPr>
        <w:ilvl w:val="0"/>
        <w:numId w:val="0"/>
      </w:numPr>
      <w:jc w:val="left"/>
      <w:spacing w:lineRule="auto" w:line="240" w:before="0" w:after="0"/>
      <w:ind w:right="0" w:firstLine="0"/>
      <w:tabs>
        <w:tab w:val="center" w:pos="4153"/>
        <w:tab w:val="center" w:pos="4153"/>
        <w:tab w:val="right" w:pos="8306"/>
        <w:tab w:val="right" w:pos="8306"/>
      </w:tabs>
      <w:rPr>
        <w:color w:val="auto"/>
        <w:position w:val="0"/>
        <w:sz w:val="18"/>
        <w:szCs w:val="18"/>
        <w:rFonts w:ascii="Times New Roman" w:eastAsia="Times New Roman" w:hAnsi="Times New Roman" w:hint="default"/>
      </w:rPr>
      <w:snapToGrid w:val="off"/>
      <w:autoSpaceDE w:val="1"/>
      <w:autoSpaceDN w:val="1"/>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p>
    <w:pPr>
      <w:pStyle w:val="PO156"/>
      <w:numPr>
        <w:ilvl w:val="0"/>
        <w:numId w:val="0"/>
      </w:numPr>
      <w:jc w:val="left"/>
      <w:spacing w:lineRule="auto" w:line="240" w:before="0" w:after="0"/>
      <w:ind w:right="0" w:firstLine="0"/>
      <w:tabs>
        <w:tab w:val="center" w:pos="4153"/>
        <w:tab w:val="center" w:pos="4153"/>
        <w:tab w:val="right" w:pos="8306"/>
        <w:tab w:val="right" w:pos="8306"/>
      </w:tabs>
      <w:rPr>
        <w:color w:val="auto"/>
        <w:position w:val="0"/>
        <w:sz w:val="18"/>
        <w:szCs w:val="18"/>
        <w:rFonts w:ascii="Times New Roman" w:eastAsia="Times New Roman" w:hAnsi="Times New Roman" w:hint="default"/>
      </w:rPr>
      <w:snapToGrid w:val="off"/>
      <w:autoSpaceDE w:val="1"/>
      <w:autoSpaceDN w:val="1"/>
    </w:pPr>
  </w:p>
</w:ft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p>
    <w:pPr>
      <w:pStyle w:val="PO154"/>
      <w:numPr>
        <w:ilvl w:val="0"/>
        <w:numId w:val="0"/>
      </w:numPr>
      <w:jc w:val="center"/>
      <w:spacing w:lineRule="auto" w:line="240" w:before="0" w:after="0"/>
      <w:pBdr>
        <w:bottom w:val="single" w:sz="6" w:space="0" w:color="000000"/>
      </w:pBdr>
      <w:ind w:right="0" w:firstLine="0"/>
      <w:tabs>
        <w:tab w:val="center" w:pos="4153"/>
        <w:tab w:val="center" w:pos="4153"/>
        <w:tab w:val="right" w:pos="8306"/>
        <w:tab w:val="right" w:pos="8306"/>
      </w:tabs>
      <w:rPr>
        <w:color w:val="auto"/>
        <w:position w:val="0"/>
        <w:sz w:val="18"/>
        <w:szCs w:val="18"/>
        <w:rFonts w:ascii="Times New Roman" w:eastAsia="Times New Roman" w:hAnsi="Times New Roman" w:hint="default"/>
      </w:rPr>
      <w:snapToGrid w:val="off"/>
      <w:autoSpaceDE w:val="1"/>
      <w:autoSpaceDN w:val="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p>
    <w:pPr>
      <w:pStyle w:val="PO154"/>
      <w:numPr>
        <w:ilvl w:val="0"/>
        <w:numId w:val="0"/>
      </w:numPr>
      <w:jc w:val="center"/>
      <w:spacing w:lineRule="auto" w:line="240" w:before="0" w:after="0"/>
      <w:pBdr>
        <w:bottom w:val="single" w:sz="6" w:space="0" w:color="000000"/>
      </w:pBdr>
      <w:ind w:right="0" w:firstLine="0"/>
      <w:tabs>
        <w:tab w:val="center" w:pos="4153"/>
        <w:tab w:val="center" w:pos="4153"/>
        <w:tab w:val="right" w:pos="8306"/>
        <w:tab w:val="right" w:pos="8306"/>
      </w:tabs>
      <w:rPr>
        <w:color w:val="auto"/>
        <w:position w:val="0"/>
        <w:sz w:val="18"/>
        <w:szCs w:val="18"/>
        <w:rFonts w:ascii="Times New Roman" w:eastAsia="Times New Roman" w:hAnsi="Times New Roman" w:hint="default"/>
      </w:rPr>
      <w:snapToGrid w:val="off"/>
      <w:autoSpaceDE w:val="1"/>
      <w:autoSpaceDN w:val="1"/>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p>
    <w:pPr>
      <w:pStyle w:val="PO154"/>
      <w:numPr>
        <w:ilvl w:val="0"/>
        <w:numId w:val="0"/>
      </w:numPr>
      <w:jc w:val="center"/>
      <w:spacing w:lineRule="auto" w:line="240" w:before="0" w:after="0"/>
      <w:pBdr>
        <w:bottom w:val="single" w:sz="6" w:space="0" w:color="000000"/>
      </w:pBdr>
      <w:ind w:right="0" w:firstLine="0"/>
      <w:tabs>
        <w:tab w:val="center" w:pos="4153"/>
        <w:tab w:val="center" w:pos="4153"/>
        <w:tab w:val="right" w:pos="8306"/>
        <w:tab w:val="right" w:pos="8306"/>
      </w:tabs>
      <w:rPr>
        <w:color w:val="auto"/>
        <w:position w:val="0"/>
        <w:sz w:val="18"/>
        <w:szCs w:val="18"/>
        <w:rFonts w:ascii="Times New Roman" w:eastAsia="Times New Roman" w:hAnsi="Times New Roman" w:hint="default"/>
      </w:rPr>
      <w:snapToGrid w:val="off"/>
      <w:autoSpaceDE w:val="1"/>
      <w:autoSpaceDN w:val="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w:abstractNum w:abstractNumId="0">
    <w:multiLevelType w:val="hybridMultilevel"/>
    <w:nsid w:val="2F000000"/>
    <w:tmpl w:val="1F000014"/>
    <w:lvl w:ilvl="0">
      <w:lvlJc w:val="left"/>
      <w:numFmt w:val="decimal"/>
      <w:start w:val="1"/>
      <w:suff w:val="tab"/>
      <w:pPr>
        <w:ind w:left="315" w:hanging="315"/>
        <w:jc w:val="both"/>
        <w:tabs>
          <w:tab w:val="left" w:pos="315"/>
        </w:tabs>
      </w:pPr>
      <w:lvlText w:val="%1．"/>
    </w:lvl>
    <w:lvl w:ilvl="1">
      <w:lvlJc w:val="left"/>
      <w:numFmt w:val="decimal"/>
      <w:start w:val="1"/>
      <w:suff w:val="tab"/>
      <w:pPr>
        <w:ind w:left="315" w:hanging="315"/>
        <w:jc w:val="both"/>
        <w:tabs>
          <w:tab w:val="left" w:pos="315"/>
        </w:tabs>
      </w:pPr>
      <w:lvlText w:val="%1．"/>
    </w:lvl>
    <w:lvl w:ilvl="2">
      <w:lvlJc w:val="left"/>
      <w:numFmt w:val="decimal"/>
      <w:start w:val="1"/>
      <w:suff w:val="tab"/>
      <w:pPr>
        <w:ind w:left="315" w:hanging="315"/>
        <w:jc w:val="both"/>
        <w:tabs>
          <w:tab w:val="left" w:pos="315"/>
        </w:tabs>
      </w:pPr>
      <w:lvlText w:val="%1．"/>
    </w:lvl>
    <w:lvl w:ilvl="3">
      <w:lvlJc w:val="left"/>
      <w:numFmt w:val="decimal"/>
      <w:start w:val="1"/>
      <w:suff w:val="tab"/>
      <w:pPr>
        <w:ind w:left="315" w:hanging="315"/>
        <w:jc w:val="both"/>
        <w:tabs>
          <w:tab w:val="left" w:pos="315"/>
        </w:tabs>
      </w:pPr>
      <w:lvlText w:val="%1．"/>
    </w:lvl>
    <w:lvl w:ilvl="4">
      <w:lvlJc w:val="left"/>
      <w:numFmt w:val="decimal"/>
      <w:start w:val="1"/>
      <w:suff w:val="tab"/>
      <w:pPr>
        <w:ind w:left="315" w:hanging="315"/>
        <w:jc w:val="both"/>
        <w:tabs>
          <w:tab w:val="left" w:pos="315"/>
        </w:tabs>
      </w:pPr>
      <w:lvlText w:val="%1．"/>
    </w:lvl>
    <w:lvl w:ilvl="5">
      <w:lvlJc w:val="left"/>
      <w:numFmt w:val="decimal"/>
      <w:start w:val="1"/>
      <w:suff w:val="tab"/>
      <w:pPr>
        <w:ind w:left="315" w:hanging="315"/>
        <w:jc w:val="both"/>
        <w:tabs>
          <w:tab w:val="left" w:pos="315"/>
        </w:tabs>
      </w:pPr>
      <w:lvlText w:val="%1．"/>
    </w:lvl>
    <w:lvl w:ilvl="6">
      <w:lvlJc w:val="left"/>
      <w:numFmt w:val="decimal"/>
      <w:start w:val="1"/>
      <w:suff w:val="tab"/>
      <w:pPr>
        <w:ind w:left="315" w:hanging="315"/>
        <w:jc w:val="both"/>
        <w:tabs>
          <w:tab w:val="left" w:pos="315"/>
        </w:tabs>
      </w:pPr>
      <w:lvlText w:val="%1．"/>
    </w:lvl>
    <w:lvl w:ilvl="7">
      <w:lvlJc w:val="left"/>
      <w:numFmt w:val="decimal"/>
      <w:start w:val="1"/>
      <w:suff w:val="tab"/>
      <w:pPr>
        <w:ind w:left="315" w:hanging="315"/>
        <w:jc w:val="both"/>
        <w:tabs>
          <w:tab w:val="left" w:pos="315"/>
        </w:tabs>
      </w:pPr>
      <w:lvlText w:val="%1．"/>
    </w:lvl>
    <w:lvl w:ilvl="8">
      <w:lvlJc w:val="left"/>
      <w:numFmt w:val="decimal"/>
      <w:start w:val="1"/>
      <w:suff w:val="tab"/>
      <w:pPr>
        <w:ind w:left="315" w:hanging="315"/>
        <w:jc w:val="both"/>
        <w:tabs>
          <w:tab w:val="left" w:pos="315"/>
        </w:tabs>
      </w:pPr>
      <w:lvlText w:val="%1．"/>
    </w:lvl>
  </w:abstractNum>
  <w:abstractNum w:abstractNumId="1">
    <w:multiLevelType w:val="hybridMultilevel"/>
    <w:nsid w:val="2F000001"/>
    <w:tmpl w:val="1F002411"/>
    <w:lvl w:ilvl="0">
      <w:lvlJc w:val="left"/>
      <w:numFmt w:val="decimal"/>
      <w:start w:val="1"/>
      <w:suff w:val="tab"/>
      <w:pPr>
        <w:ind w:left="315" w:hanging="315"/>
        <w:jc w:val="both"/>
        <w:tabs>
          <w:tab w:val="left" w:pos="315"/>
        </w:tabs>
      </w:pPr>
      <w:lvlText w:val="%1．"/>
    </w:lvl>
    <w:lvl w:ilvl="1">
      <w:lvlJc w:val="left"/>
      <w:numFmt w:val="decimal"/>
      <w:start w:val="1"/>
      <w:suff w:val="tab"/>
      <w:pPr>
        <w:ind w:left="315" w:hanging="315"/>
        <w:jc w:val="both"/>
        <w:tabs>
          <w:tab w:val="left" w:pos="315"/>
        </w:tabs>
      </w:pPr>
      <w:lvlText w:val="%1．"/>
    </w:lvl>
    <w:lvl w:ilvl="2">
      <w:lvlJc w:val="left"/>
      <w:numFmt w:val="decimal"/>
      <w:start w:val="1"/>
      <w:suff w:val="tab"/>
      <w:pPr>
        <w:ind w:left="315" w:hanging="315"/>
        <w:jc w:val="both"/>
        <w:tabs>
          <w:tab w:val="left" w:pos="315"/>
        </w:tabs>
      </w:pPr>
      <w:lvlText w:val="%1．"/>
    </w:lvl>
    <w:lvl w:ilvl="3">
      <w:lvlJc w:val="left"/>
      <w:numFmt w:val="decimal"/>
      <w:start w:val="1"/>
      <w:suff w:val="tab"/>
      <w:pPr>
        <w:ind w:left="315" w:hanging="315"/>
        <w:jc w:val="both"/>
        <w:tabs>
          <w:tab w:val="left" w:pos="315"/>
        </w:tabs>
      </w:pPr>
      <w:lvlText w:val="%1．"/>
    </w:lvl>
    <w:lvl w:ilvl="4">
      <w:lvlJc w:val="left"/>
      <w:numFmt w:val="decimal"/>
      <w:start w:val="1"/>
      <w:suff w:val="tab"/>
      <w:pPr>
        <w:ind w:left="315" w:hanging="315"/>
        <w:jc w:val="both"/>
        <w:tabs>
          <w:tab w:val="left" w:pos="315"/>
        </w:tabs>
      </w:pPr>
      <w:lvlText w:val="%1．"/>
    </w:lvl>
    <w:lvl w:ilvl="5">
      <w:lvlJc w:val="left"/>
      <w:numFmt w:val="decimal"/>
      <w:start w:val="1"/>
      <w:suff w:val="tab"/>
      <w:pPr>
        <w:ind w:left="315" w:hanging="315"/>
        <w:jc w:val="both"/>
        <w:tabs>
          <w:tab w:val="left" w:pos="315"/>
        </w:tabs>
      </w:pPr>
      <w:lvlText w:val="%1．"/>
    </w:lvl>
    <w:lvl w:ilvl="6">
      <w:lvlJc w:val="left"/>
      <w:numFmt w:val="decimal"/>
      <w:start w:val="1"/>
      <w:suff w:val="tab"/>
      <w:pPr>
        <w:ind w:left="315" w:hanging="315"/>
        <w:jc w:val="both"/>
        <w:tabs>
          <w:tab w:val="left" w:pos="315"/>
        </w:tabs>
      </w:pPr>
      <w:lvlText w:val="%1．"/>
    </w:lvl>
    <w:lvl w:ilvl="7">
      <w:lvlJc w:val="left"/>
      <w:numFmt w:val="decimal"/>
      <w:start w:val="1"/>
      <w:suff w:val="tab"/>
      <w:pPr>
        <w:ind w:left="315" w:hanging="315"/>
        <w:jc w:val="both"/>
        <w:tabs>
          <w:tab w:val="left" w:pos="315"/>
        </w:tabs>
      </w:pPr>
      <w:lvlText w:val="%1．"/>
    </w:lvl>
    <w:lvl w:ilvl="8">
      <w:lvlJc w:val="left"/>
      <w:numFmt w:val="decimal"/>
      <w:start w:val="1"/>
      <w:suff w:val="tab"/>
      <w:pPr>
        <w:ind w:left="315" w:hanging="315"/>
        <w:jc w:val="both"/>
        <w:tabs>
          <w:tab w:val="left" w:pos="315"/>
        </w:tabs>
      </w:pPr>
      <w:lvlText w:val="%1．"/>
    </w:lvl>
  </w:abstractNum>
  <w:abstractNum w:abstractNumId="2">
    <w:multiLevelType w:val="hybridMultilevel"/>
    <w:nsid w:val="2F000002"/>
    <w:tmpl w:val="1F000C5F"/>
    <w:lvl w:ilvl="0">
      <w:lvlJc w:val="left"/>
      <w:numFmt w:val="decimal"/>
      <w:start w:val="1"/>
      <w:suff w:val="tab"/>
      <w:pPr>
        <w:ind w:left="1395" w:hanging="315"/>
        <w:jc w:val="both"/>
        <w:tabs>
          <w:tab w:val="left" w:pos="1395"/>
        </w:tabs>
      </w:pPr>
      <w:lvlText w:val="%1．"/>
    </w:lvl>
    <w:lvl w:ilvl="1">
      <w:lvlJc w:val="left"/>
      <w:numFmt w:val="decimal"/>
      <w:start w:val="1"/>
      <w:suff w:val="tab"/>
      <w:pPr>
        <w:ind w:left="1395" w:hanging="315"/>
        <w:jc w:val="both"/>
        <w:tabs>
          <w:tab w:val="left" w:pos="1395"/>
        </w:tabs>
      </w:pPr>
      <w:lvlText w:val="%1．"/>
    </w:lvl>
    <w:lvl w:ilvl="2">
      <w:lvlJc w:val="left"/>
      <w:numFmt w:val="decimal"/>
      <w:start w:val="1"/>
      <w:suff w:val="tab"/>
      <w:pPr>
        <w:ind w:left="1395" w:hanging="315"/>
        <w:jc w:val="both"/>
        <w:tabs>
          <w:tab w:val="left" w:pos="1395"/>
        </w:tabs>
      </w:pPr>
      <w:lvlText w:val="%1．"/>
    </w:lvl>
    <w:lvl w:ilvl="3">
      <w:lvlJc w:val="left"/>
      <w:numFmt w:val="decimal"/>
      <w:start w:val="1"/>
      <w:suff w:val="tab"/>
      <w:pPr>
        <w:ind w:left="1395" w:hanging="315"/>
        <w:jc w:val="both"/>
        <w:tabs>
          <w:tab w:val="left" w:pos="1395"/>
        </w:tabs>
      </w:pPr>
      <w:lvlText w:val="%1．"/>
    </w:lvl>
    <w:lvl w:ilvl="4">
      <w:lvlJc w:val="left"/>
      <w:numFmt w:val="decimal"/>
      <w:start w:val="1"/>
      <w:suff w:val="tab"/>
      <w:pPr>
        <w:ind w:left="1395" w:hanging="315"/>
        <w:jc w:val="both"/>
        <w:tabs>
          <w:tab w:val="left" w:pos="1395"/>
        </w:tabs>
      </w:pPr>
      <w:lvlText w:val="%1．"/>
    </w:lvl>
    <w:lvl w:ilvl="5">
      <w:lvlJc w:val="left"/>
      <w:numFmt w:val="decimal"/>
      <w:start w:val="1"/>
      <w:suff w:val="tab"/>
      <w:pPr>
        <w:ind w:left="1395" w:hanging="315"/>
        <w:jc w:val="both"/>
        <w:tabs>
          <w:tab w:val="left" w:pos="1395"/>
        </w:tabs>
      </w:pPr>
      <w:lvlText w:val="%1．"/>
    </w:lvl>
    <w:lvl w:ilvl="6">
      <w:lvlJc w:val="left"/>
      <w:numFmt w:val="decimal"/>
      <w:start w:val="1"/>
      <w:suff w:val="tab"/>
      <w:pPr>
        <w:ind w:left="1395" w:hanging="315"/>
        <w:jc w:val="both"/>
        <w:tabs>
          <w:tab w:val="left" w:pos="1395"/>
        </w:tabs>
      </w:pPr>
      <w:lvlText w:val="%1．"/>
    </w:lvl>
    <w:lvl w:ilvl="7">
      <w:lvlJc w:val="left"/>
      <w:numFmt w:val="decimal"/>
      <w:start w:val="1"/>
      <w:suff w:val="tab"/>
      <w:pPr>
        <w:ind w:left="1395" w:hanging="315"/>
        <w:jc w:val="both"/>
        <w:tabs>
          <w:tab w:val="left" w:pos="1395"/>
        </w:tabs>
      </w:pPr>
      <w:lvlText w:val="%1．"/>
    </w:lvl>
    <w:lvl w:ilvl="8">
      <w:lvlJc w:val="left"/>
      <w:numFmt w:val="decimal"/>
      <w:start w:val="1"/>
      <w:suff w:val="tab"/>
      <w:pPr>
        <w:ind w:left="1395" w:hanging="315"/>
        <w:jc w:val="both"/>
        <w:tabs>
          <w:tab w:val="left" w:pos="1395"/>
        </w:tabs>
      </w:pPr>
      <w:lvlText w:val="%1．"/>
    </w:lvl>
  </w:abstractNum>
  <w:abstractNum w:abstractNumId="3">
    <w:multiLevelType w:val="multilevel"/>
    <w:nsid w:val="2F000003"/>
    <w:tmpl w:val="1F0033C2"/>
    <w:lvl w:ilvl="0">
      <w:lvlJc w:val="left"/>
      <w:numFmt w:val="decimal"/>
      <w:start w:val="2"/>
      <w:suff w:val="tab"/>
      <w:pPr>
        <w:ind w:left="780" w:hanging="360"/>
        <w:jc w:val="both"/>
        <w:tabs>
          <w:tab w:val="left" w:pos="780"/>
        </w:tabs>
      </w:pPr>
      <w:rPr>
        <w:shd w:val="clear"/>
        <w:sz w:val="20"/>
        <w:szCs w:val="20"/>
        <w:w w:val="100"/>
      </w:rPr>
      <w:lvlText w:val="%1."/>
    </w:lvl>
    <w:lvl w:ilvl="1">
      <w:lvlJc w:val="left"/>
      <w:numFmt w:val="lowerLetter"/>
      <w:start w:val="1"/>
      <w:suff w:val="tab"/>
      <w:pPr>
        <w:ind w:left="1260" w:hanging="420"/>
        <w:jc w:val="both"/>
        <w:tabs>
          <w:tab w:val="left" w:pos="1260"/>
        </w:tabs>
      </w:pPr>
      <w:lvlText w:val="%2)"/>
    </w:lvl>
    <w:lvl w:ilvl="2">
      <w:lvlJc w:val="right"/>
      <w:numFmt w:val="lowerRoman"/>
      <w:start w:val="1"/>
      <w:suff w:val="tab"/>
      <w:pPr>
        <w:ind w:left="1680" w:hanging="420"/>
        <w:jc w:val="both"/>
        <w:tabs>
          <w:tab w:val="left" w:pos="1680"/>
        </w:tabs>
      </w:pPr>
      <w:lvlText w:val="%3."/>
    </w:lvl>
    <w:lvl w:ilvl="3">
      <w:lvlJc w:val="left"/>
      <w:numFmt w:val="decimal"/>
      <w:start w:val="1"/>
      <w:suff w:val="tab"/>
      <w:pPr>
        <w:ind w:left="2100" w:hanging="420"/>
        <w:jc w:val="both"/>
        <w:tabs>
          <w:tab w:val="left" w:pos="2100"/>
        </w:tabs>
      </w:pPr>
      <w:lvlText w:val="%4."/>
    </w:lvl>
    <w:lvl w:ilvl="4">
      <w:lvlJc w:val="left"/>
      <w:numFmt w:val="lowerLetter"/>
      <w:start w:val="1"/>
      <w:suff w:val="tab"/>
      <w:pPr>
        <w:ind w:left="2520" w:hanging="420"/>
        <w:jc w:val="both"/>
        <w:tabs>
          <w:tab w:val="left" w:pos="2520"/>
        </w:tabs>
      </w:pPr>
      <w:lvlText w:val="%5)"/>
    </w:lvl>
    <w:lvl w:ilvl="5">
      <w:lvlJc w:val="right"/>
      <w:numFmt w:val="lowerRoman"/>
      <w:start w:val="1"/>
      <w:suff w:val="tab"/>
      <w:pPr>
        <w:ind w:left="2940" w:hanging="420"/>
        <w:jc w:val="both"/>
        <w:tabs>
          <w:tab w:val="left" w:pos="2940"/>
        </w:tabs>
      </w:pPr>
      <w:lvlText w:val="%6."/>
    </w:lvl>
    <w:lvl w:ilvl="6">
      <w:lvlJc w:val="left"/>
      <w:numFmt w:val="decimal"/>
      <w:start w:val="1"/>
      <w:suff w:val="tab"/>
      <w:pPr>
        <w:ind w:left="3360" w:hanging="420"/>
        <w:jc w:val="both"/>
        <w:tabs>
          <w:tab w:val="left" w:pos="3360"/>
        </w:tabs>
      </w:pPr>
      <w:lvlText w:val="%7."/>
    </w:lvl>
    <w:lvl w:ilvl="7">
      <w:lvlJc w:val="left"/>
      <w:numFmt w:val="lowerLetter"/>
      <w:start w:val="1"/>
      <w:suff w:val="tab"/>
      <w:pPr>
        <w:ind w:left="3780" w:hanging="420"/>
        <w:jc w:val="both"/>
        <w:tabs>
          <w:tab w:val="left" w:pos="3780"/>
        </w:tabs>
      </w:pPr>
      <w:lvlText w:val="%8)"/>
    </w:lvl>
    <w:lvl w:ilvl="8">
      <w:lvlJc w:val="right"/>
      <w:numFmt w:val="lowerRoman"/>
      <w:start w:val="1"/>
      <w:suff w:val="tab"/>
      <w:pPr>
        <w:ind w:left="4200" w:hanging="420"/>
        <w:jc w:val="both"/>
        <w:tabs>
          <w:tab w:val="left" w:pos="4200"/>
        </w:tabs>
      </w:pPr>
      <w:lvlText w:val="%9."/>
    </w:lvl>
  </w:abstractNum>
  <w:abstractNum w:abstractNumId="4">
    <w:multiLevelType w:val="hybridMultilevel"/>
    <w:nsid w:val="2F000004"/>
    <w:tmpl w:val="1F002570"/>
    <w:lvl w:ilvl="0">
      <w:lvlJc w:val="left"/>
      <w:numFmt w:val="japaneseCounting"/>
      <w:start w:val="1"/>
      <w:suff w:val="tab"/>
      <w:pPr>
        <w:ind w:left="480" w:hanging="480"/>
        <w:jc w:val="both"/>
        <w:tabs>
          <w:tab w:val="left" w:pos="480"/>
        </w:tabs>
      </w:pPr>
      <w:lvlText w:val="%1、"/>
    </w:lvl>
    <w:lvl w:ilvl="1">
      <w:lvlJc w:val="left"/>
      <w:numFmt w:val="japaneseCounting"/>
      <w:start w:val="1"/>
      <w:suff w:val="tab"/>
      <w:pPr>
        <w:ind w:left="480" w:hanging="480"/>
        <w:jc w:val="both"/>
        <w:tabs>
          <w:tab w:val="left" w:pos="480"/>
        </w:tabs>
      </w:pPr>
      <w:lvlText w:val="%1、"/>
    </w:lvl>
    <w:lvl w:ilvl="2">
      <w:lvlJc w:val="left"/>
      <w:numFmt w:val="japaneseCounting"/>
      <w:start w:val="1"/>
      <w:suff w:val="tab"/>
      <w:pPr>
        <w:ind w:left="480" w:hanging="480"/>
        <w:jc w:val="both"/>
        <w:tabs>
          <w:tab w:val="left" w:pos="480"/>
        </w:tabs>
      </w:pPr>
      <w:lvlText w:val="%1、"/>
    </w:lvl>
    <w:lvl w:ilvl="3">
      <w:lvlJc w:val="left"/>
      <w:numFmt w:val="japaneseCounting"/>
      <w:start w:val="1"/>
      <w:suff w:val="tab"/>
      <w:pPr>
        <w:ind w:left="480" w:hanging="480"/>
        <w:jc w:val="both"/>
        <w:tabs>
          <w:tab w:val="left" w:pos="480"/>
        </w:tabs>
      </w:pPr>
      <w:lvlText w:val="%1、"/>
    </w:lvl>
    <w:lvl w:ilvl="4">
      <w:lvlJc w:val="left"/>
      <w:numFmt w:val="japaneseCounting"/>
      <w:start w:val="1"/>
      <w:suff w:val="tab"/>
      <w:pPr>
        <w:ind w:left="480" w:hanging="480"/>
        <w:jc w:val="both"/>
        <w:tabs>
          <w:tab w:val="left" w:pos="480"/>
        </w:tabs>
      </w:pPr>
      <w:lvlText w:val="%1、"/>
    </w:lvl>
    <w:lvl w:ilvl="5">
      <w:lvlJc w:val="left"/>
      <w:numFmt w:val="japaneseCounting"/>
      <w:start w:val="1"/>
      <w:suff w:val="tab"/>
      <w:pPr>
        <w:ind w:left="480" w:hanging="480"/>
        <w:jc w:val="both"/>
        <w:tabs>
          <w:tab w:val="left" w:pos="480"/>
        </w:tabs>
      </w:pPr>
      <w:lvlText w:val="%1、"/>
    </w:lvl>
    <w:lvl w:ilvl="6">
      <w:lvlJc w:val="left"/>
      <w:numFmt w:val="japaneseCounting"/>
      <w:start w:val="1"/>
      <w:suff w:val="tab"/>
      <w:pPr>
        <w:ind w:left="480" w:hanging="480"/>
        <w:jc w:val="both"/>
        <w:tabs>
          <w:tab w:val="left" w:pos="480"/>
        </w:tabs>
      </w:pPr>
      <w:lvlText w:val="%1、"/>
    </w:lvl>
    <w:lvl w:ilvl="7">
      <w:lvlJc w:val="left"/>
      <w:numFmt w:val="japaneseCounting"/>
      <w:start w:val="1"/>
      <w:suff w:val="tab"/>
      <w:pPr>
        <w:ind w:left="480" w:hanging="480"/>
        <w:jc w:val="both"/>
        <w:tabs>
          <w:tab w:val="left" w:pos="480"/>
        </w:tabs>
      </w:pPr>
      <w:lvlText w:val="%1、"/>
    </w:lvl>
    <w:lvl w:ilvl="8">
      <w:lvlJc w:val="left"/>
      <w:numFmt w:val="japaneseCounting"/>
      <w:start w:val="1"/>
      <w:suff w:val="tab"/>
      <w:pPr>
        <w:ind w:left="480" w:hanging="480"/>
        <w:jc w:val="both"/>
        <w:tabs>
          <w:tab w:val="left" w:pos="480"/>
        </w:tabs>
      </w:pPr>
      <w:lvlText w:val="%1、"/>
    </w:lvl>
  </w:abstractNum>
  <w:abstractNum w:abstractNumId="5">
    <w:multiLevelType w:val="multilevel"/>
    <w:nsid w:val="2F000005"/>
    <w:tmpl w:val="1F001EB6"/>
    <w:lvl w:ilvl="0">
      <w:lvlJc w:val="left"/>
      <w:numFmt w:val="decimal"/>
      <w:start w:val="4"/>
      <w:suff w:val="tab"/>
      <w:pPr>
        <w:ind w:left="810" w:hanging="390"/>
        <w:jc w:val="both"/>
        <w:tabs>
          <w:tab w:val="left" w:pos="810"/>
        </w:tabs>
      </w:pPr>
      <w:rPr>
        <w:shd w:val="clear"/>
        <w:sz w:val="20"/>
        <w:szCs w:val="20"/>
        <w:w w:val="100"/>
      </w:rPr>
      <w:lvlText w:val="%1."/>
    </w:lvl>
    <w:lvl w:ilvl="1">
      <w:lvlJc w:val="left"/>
      <w:numFmt w:val="lowerLetter"/>
      <w:start w:val="1"/>
      <w:suff w:val="tab"/>
      <w:pPr>
        <w:ind w:left="1260" w:hanging="420"/>
        <w:jc w:val="both"/>
        <w:tabs>
          <w:tab w:val="left" w:pos="1260"/>
        </w:tabs>
      </w:pPr>
      <w:lvlText w:val="%2)"/>
    </w:lvl>
    <w:lvl w:ilvl="2">
      <w:lvlJc w:val="right"/>
      <w:numFmt w:val="lowerRoman"/>
      <w:start w:val="1"/>
      <w:suff w:val="tab"/>
      <w:pPr>
        <w:ind w:left="1680" w:hanging="420"/>
        <w:jc w:val="both"/>
        <w:tabs>
          <w:tab w:val="left" w:pos="1680"/>
        </w:tabs>
      </w:pPr>
      <w:lvlText w:val="%3."/>
    </w:lvl>
    <w:lvl w:ilvl="3">
      <w:lvlJc w:val="left"/>
      <w:numFmt w:val="decimal"/>
      <w:start w:val="1"/>
      <w:suff w:val="tab"/>
      <w:pPr>
        <w:ind w:left="2100" w:hanging="420"/>
        <w:jc w:val="both"/>
        <w:tabs>
          <w:tab w:val="left" w:pos="2100"/>
        </w:tabs>
      </w:pPr>
      <w:lvlText w:val="%4."/>
    </w:lvl>
    <w:lvl w:ilvl="4">
      <w:lvlJc w:val="left"/>
      <w:numFmt w:val="lowerLetter"/>
      <w:start w:val="1"/>
      <w:suff w:val="tab"/>
      <w:pPr>
        <w:ind w:left="2520" w:hanging="420"/>
        <w:jc w:val="both"/>
        <w:tabs>
          <w:tab w:val="left" w:pos="2520"/>
        </w:tabs>
      </w:pPr>
      <w:lvlText w:val="%5)"/>
    </w:lvl>
    <w:lvl w:ilvl="5">
      <w:lvlJc w:val="right"/>
      <w:numFmt w:val="lowerRoman"/>
      <w:start w:val="1"/>
      <w:suff w:val="tab"/>
      <w:pPr>
        <w:ind w:left="2940" w:hanging="420"/>
        <w:jc w:val="both"/>
        <w:tabs>
          <w:tab w:val="left" w:pos="2940"/>
        </w:tabs>
      </w:pPr>
      <w:lvlText w:val="%6."/>
    </w:lvl>
    <w:lvl w:ilvl="6">
      <w:lvlJc w:val="left"/>
      <w:numFmt w:val="decimal"/>
      <w:start w:val="1"/>
      <w:suff w:val="tab"/>
      <w:pPr>
        <w:ind w:left="3360" w:hanging="420"/>
        <w:jc w:val="both"/>
        <w:tabs>
          <w:tab w:val="left" w:pos="3360"/>
        </w:tabs>
      </w:pPr>
      <w:lvlText w:val="%7."/>
    </w:lvl>
    <w:lvl w:ilvl="7">
      <w:lvlJc w:val="left"/>
      <w:numFmt w:val="lowerLetter"/>
      <w:start w:val="1"/>
      <w:suff w:val="tab"/>
      <w:pPr>
        <w:ind w:left="3780" w:hanging="420"/>
        <w:jc w:val="both"/>
        <w:tabs>
          <w:tab w:val="left" w:pos="3780"/>
        </w:tabs>
      </w:pPr>
      <w:lvlText w:val="%8)"/>
    </w:lvl>
    <w:lvl w:ilvl="8">
      <w:lvlJc w:val="right"/>
      <w:numFmt w:val="lowerRoman"/>
      <w:start w:val="1"/>
      <w:suff w:val="tab"/>
      <w:pPr>
        <w:ind w:left="4200" w:hanging="420"/>
        <w:jc w:val="both"/>
        <w:tabs>
          <w:tab w:val="left" w:pos="4200"/>
        </w:tabs>
      </w:pPr>
      <w:lvlText w:val="%9."/>
    </w:lvl>
  </w:abstractNum>
  <w:abstractNum w:abstractNumId="6">
    <w:multiLevelType w:val="hybridMultilevel"/>
    <w:nsid w:val="2F000006"/>
    <w:tmpl w:val="1F00166B"/>
    <w:lvl w:ilvl="0">
      <w:lvlJc w:val="left"/>
      <w:numFmt w:val="decimal"/>
      <w:start w:val="1"/>
      <w:suff w:val="tab"/>
      <w:pPr>
        <w:ind w:left="315" w:hanging="315"/>
        <w:jc w:val="both"/>
        <w:tabs>
          <w:tab w:val="left" w:pos="315"/>
        </w:tabs>
      </w:pPr>
      <w:lvlText w:val="%1．"/>
    </w:lvl>
    <w:lvl w:ilvl="1">
      <w:lvlJc w:val="left"/>
      <w:numFmt w:val="decimal"/>
      <w:start w:val="1"/>
      <w:suff w:val="tab"/>
      <w:pPr>
        <w:ind w:left="315" w:hanging="315"/>
        <w:jc w:val="both"/>
        <w:tabs>
          <w:tab w:val="left" w:pos="315"/>
        </w:tabs>
      </w:pPr>
      <w:lvlText w:val="%1．"/>
    </w:lvl>
    <w:lvl w:ilvl="2">
      <w:lvlJc w:val="left"/>
      <w:numFmt w:val="decimal"/>
      <w:start w:val="1"/>
      <w:suff w:val="tab"/>
      <w:pPr>
        <w:ind w:left="315" w:hanging="315"/>
        <w:jc w:val="both"/>
        <w:tabs>
          <w:tab w:val="left" w:pos="315"/>
        </w:tabs>
      </w:pPr>
      <w:lvlText w:val="%1．"/>
    </w:lvl>
    <w:lvl w:ilvl="3">
      <w:lvlJc w:val="left"/>
      <w:numFmt w:val="decimal"/>
      <w:start w:val="1"/>
      <w:suff w:val="tab"/>
      <w:pPr>
        <w:ind w:left="315" w:hanging="315"/>
        <w:jc w:val="both"/>
        <w:tabs>
          <w:tab w:val="left" w:pos="315"/>
        </w:tabs>
      </w:pPr>
      <w:lvlText w:val="%1．"/>
    </w:lvl>
    <w:lvl w:ilvl="4">
      <w:lvlJc w:val="left"/>
      <w:numFmt w:val="decimal"/>
      <w:start w:val="1"/>
      <w:suff w:val="tab"/>
      <w:pPr>
        <w:ind w:left="315" w:hanging="315"/>
        <w:jc w:val="both"/>
        <w:tabs>
          <w:tab w:val="left" w:pos="315"/>
        </w:tabs>
      </w:pPr>
      <w:lvlText w:val="%1．"/>
    </w:lvl>
    <w:lvl w:ilvl="5">
      <w:lvlJc w:val="left"/>
      <w:numFmt w:val="decimal"/>
      <w:start w:val="1"/>
      <w:suff w:val="tab"/>
      <w:pPr>
        <w:ind w:left="315" w:hanging="315"/>
        <w:jc w:val="both"/>
        <w:tabs>
          <w:tab w:val="left" w:pos="315"/>
        </w:tabs>
      </w:pPr>
      <w:lvlText w:val="%1．"/>
    </w:lvl>
    <w:lvl w:ilvl="6">
      <w:lvlJc w:val="left"/>
      <w:numFmt w:val="decimal"/>
      <w:start w:val="1"/>
      <w:suff w:val="tab"/>
      <w:pPr>
        <w:ind w:left="315" w:hanging="315"/>
        <w:jc w:val="both"/>
        <w:tabs>
          <w:tab w:val="left" w:pos="315"/>
        </w:tabs>
      </w:pPr>
      <w:lvlText w:val="%1．"/>
    </w:lvl>
    <w:lvl w:ilvl="7">
      <w:lvlJc w:val="left"/>
      <w:numFmt w:val="decimal"/>
      <w:start w:val="1"/>
      <w:suff w:val="tab"/>
      <w:pPr>
        <w:ind w:left="315" w:hanging="315"/>
        <w:jc w:val="both"/>
        <w:tabs>
          <w:tab w:val="left" w:pos="315"/>
        </w:tabs>
      </w:pPr>
      <w:lvlText w:val="%1．"/>
    </w:lvl>
    <w:lvl w:ilvl="8">
      <w:lvlJc w:val="left"/>
      <w:numFmt w:val="decimal"/>
      <w:start w:val="1"/>
      <w:suff w:val="tab"/>
      <w:pPr>
        <w:ind w:left="315" w:hanging="315"/>
        <w:jc w:val="both"/>
        <w:tabs>
          <w:tab w:val="left" w:pos="315"/>
        </w:tabs>
      </w:pPr>
      <w:lvlText w:val="%1．"/>
    </w:lvl>
  </w:abstractNum>
  <w:abstractNum w:abstractNumId="7">
    <w:multiLevelType w:val="hybridMultilevel"/>
    <w:nsid w:val="2F000007"/>
    <w:tmpl w:val="1F003957"/>
    <w:lvl w:ilvl="0">
      <w:lvlJc w:val="left"/>
      <w:numFmt w:val="japaneseCounting"/>
      <w:start w:val="2"/>
      <w:suff w:val="tab"/>
      <w:pPr>
        <w:ind w:left="720" w:hanging="720"/>
        <w:jc w:val="both"/>
        <w:tabs>
          <w:tab w:val="left" w:pos="720"/>
        </w:tabs>
      </w:pPr>
      <w:rPr>
        <w:shd w:val="clear"/>
        <w:sz w:val="20"/>
        <w:szCs w:val="20"/>
        <w:w w:val="100"/>
      </w:rPr>
      <w:lvlText w:val="第%1节"/>
    </w:lvl>
    <w:lvl w:ilvl="1">
      <w:lvlJc w:val="left"/>
      <w:numFmt w:val="lowerLetter"/>
      <w:start w:val="1"/>
      <w:suff w:val="tab"/>
      <w:pPr>
        <w:ind w:left="840" w:hanging="420"/>
        <w:jc w:val="both"/>
        <w:tabs>
          <w:tab w:val="left" w:pos="840"/>
        </w:tabs>
      </w:pPr>
      <w:lvlText w:val="%2)"/>
    </w:lvl>
    <w:lvl w:ilvl="2">
      <w:lvlJc w:val="right"/>
      <w:numFmt w:val="lowerRoman"/>
      <w:start w:val="1"/>
      <w:suff w:val="tab"/>
      <w:pPr>
        <w:ind w:left="1260" w:hanging="420"/>
        <w:jc w:val="both"/>
        <w:tabs>
          <w:tab w:val="left" w:pos="1260"/>
        </w:tabs>
      </w:pPr>
      <w:lvlText w:val="%3."/>
    </w:lvl>
    <w:lvl w:ilvl="3">
      <w:lvlJc w:val="left"/>
      <w:numFmt w:val="decimal"/>
      <w:start w:val="1"/>
      <w:suff w:val="tab"/>
      <w:pPr>
        <w:ind w:left="1680" w:hanging="420"/>
        <w:jc w:val="both"/>
        <w:tabs>
          <w:tab w:val="left" w:pos="1680"/>
        </w:tabs>
      </w:pPr>
      <w:lvlText w:val="%4."/>
    </w:lvl>
    <w:lvl w:ilvl="4">
      <w:lvlJc w:val="left"/>
      <w:numFmt w:val="lowerLetter"/>
      <w:start w:val="1"/>
      <w:suff w:val="tab"/>
      <w:pPr>
        <w:ind w:left="2100" w:hanging="420"/>
        <w:jc w:val="both"/>
        <w:tabs>
          <w:tab w:val="left" w:pos="2100"/>
        </w:tabs>
      </w:pPr>
      <w:lvlText w:val="%5)"/>
    </w:lvl>
    <w:lvl w:ilvl="5">
      <w:lvlJc w:val="right"/>
      <w:numFmt w:val="lowerRoman"/>
      <w:start w:val="1"/>
      <w:suff w:val="tab"/>
      <w:pPr>
        <w:ind w:left="2520" w:hanging="420"/>
        <w:jc w:val="both"/>
        <w:tabs>
          <w:tab w:val="left" w:pos="2520"/>
        </w:tabs>
      </w:pPr>
      <w:lvlText w:val="%6."/>
    </w:lvl>
    <w:lvl w:ilvl="6">
      <w:lvlJc w:val="left"/>
      <w:numFmt w:val="decimal"/>
      <w:start w:val="1"/>
      <w:suff w:val="tab"/>
      <w:pPr>
        <w:ind w:left="2940" w:hanging="420"/>
        <w:jc w:val="both"/>
        <w:tabs>
          <w:tab w:val="left" w:pos="2940"/>
        </w:tabs>
      </w:pPr>
      <w:lvlText w:val="%7."/>
    </w:lvl>
    <w:lvl w:ilvl="7">
      <w:lvlJc w:val="left"/>
      <w:numFmt w:val="lowerLetter"/>
      <w:start w:val="1"/>
      <w:suff w:val="tab"/>
      <w:pPr>
        <w:ind w:left="3360" w:hanging="420"/>
        <w:jc w:val="both"/>
        <w:tabs>
          <w:tab w:val="left" w:pos="3360"/>
        </w:tabs>
      </w:pPr>
      <w:lvlText w:val="%8)"/>
    </w:lvl>
    <w:lvl w:ilvl="8">
      <w:lvlJc w:val="right"/>
      <w:numFmt w:val="lowerRoman"/>
      <w:start w:val="1"/>
      <w:suff w:val="tab"/>
      <w:pPr>
        <w:ind w:left="3780" w:hanging="420"/>
        <w:jc w:val="both"/>
        <w:tabs>
          <w:tab w:val="left" w:pos="3780"/>
        </w:tabs>
      </w:pPr>
      <w:lvlText w:val="%9."/>
    </w:lvl>
  </w:abstractNum>
  <w:abstractNum w:abstractNumId="8">
    <w:multiLevelType w:val="hybridMultilevel"/>
    <w:nsid w:val="2F000008"/>
    <w:tmpl w:val="1F0034A9"/>
    <w:lvl w:ilvl="0">
      <w:lvlJc w:val="left"/>
      <w:numFmt w:val="decimal"/>
      <w:start w:val="2"/>
      <w:suff w:val="tab"/>
      <w:pPr>
        <w:ind w:left="1080" w:hanging="360"/>
        <w:jc w:val="both"/>
      </w:pPr>
      <w:rPr>
        <w:shd w:val="clear"/>
        <w:sz w:val="20"/>
        <w:szCs w:val="20"/>
        <w:w w:val="100"/>
      </w:rPr>
      <w:lvlText w:val="%1．"/>
    </w:lvl>
    <w:lvl w:ilvl="1">
      <w:lvlJc w:val="left"/>
      <w:numFmt w:val="lowerLetter"/>
      <w:start w:val="1"/>
      <w:suff w:val="tab"/>
      <w:pPr>
        <w:ind w:left="1560" w:hanging="420"/>
        <w:jc w:val="both"/>
      </w:pPr>
      <w:lvlText w:val="%2)"/>
    </w:lvl>
    <w:lvl w:ilvl="2">
      <w:lvlJc w:val="right"/>
      <w:numFmt w:val="lowerRoman"/>
      <w:start w:val="1"/>
      <w:suff w:val="tab"/>
      <w:pPr>
        <w:ind w:left="1980" w:hanging="420"/>
        <w:jc w:val="both"/>
      </w:pPr>
      <w:lvlText w:val="%3."/>
    </w:lvl>
    <w:lvl w:ilvl="3">
      <w:lvlJc w:val="left"/>
      <w:numFmt w:val="decimal"/>
      <w:start w:val="1"/>
      <w:suff w:val="tab"/>
      <w:pPr>
        <w:ind w:left="2400" w:hanging="420"/>
        <w:jc w:val="both"/>
      </w:pPr>
      <w:lvlText w:val="%4."/>
    </w:lvl>
    <w:lvl w:ilvl="4">
      <w:lvlJc w:val="left"/>
      <w:numFmt w:val="lowerLetter"/>
      <w:start w:val="1"/>
      <w:suff w:val="tab"/>
      <w:pPr>
        <w:ind w:left="2820" w:hanging="420"/>
        <w:jc w:val="both"/>
      </w:pPr>
      <w:lvlText w:val="%5)"/>
    </w:lvl>
    <w:lvl w:ilvl="5">
      <w:lvlJc w:val="right"/>
      <w:numFmt w:val="lowerRoman"/>
      <w:start w:val="1"/>
      <w:suff w:val="tab"/>
      <w:pPr>
        <w:ind w:left="3240" w:hanging="420"/>
        <w:jc w:val="both"/>
      </w:pPr>
      <w:lvlText w:val="%6."/>
    </w:lvl>
    <w:lvl w:ilvl="6">
      <w:lvlJc w:val="left"/>
      <w:numFmt w:val="decimal"/>
      <w:start w:val="1"/>
      <w:suff w:val="tab"/>
      <w:pPr>
        <w:ind w:left="3660" w:hanging="420"/>
        <w:jc w:val="both"/>
      </w:pPr>
      <w:lvlText w:val="%7."/>
    </w:lvl>
    <w:lvl w:ilvl="7">
      <w:lvlJc w:val="left"/>
      <w:numFmt w:val="lowerLetter"/>
      <w:start w:val="1"/>
      <w:suff w:val="tab"/>
      <w:pPr>
        <w:ind w:left="4080" w:hanging="420"/>
        <w:jc w:val="both"/>
      </w:pPr>
      <w:lvlText w:val="%8)"/>
    </w:lvl>
    <w:lvl w:ilvl="8">
      <w:lvlJc w:val="right"/>
      <w:numFmt w:val="lowerRoman"/>
      <w:start w:val="1"/>
      <w:suff w:val="tab"/>
      <w:pPr>
        <w:ind w:left="4500" w:hanging="420"/>
        <w:jc w:val="both"/>
      </w:pPr>
      <w:lvlText w:val="%9."/>
    </w:lvl>
  </w:abstractNum>
  <w:num w:numId="1">
    <w:abstractNumId w:val="4"/>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2">
    <w:abstractNumId w:val="1"/>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3">
    <w:abstractNumId w:val="5"/>
  </w:num>
  <w:num w:numId="4">
    <w:abstractNumId w:val="0"/>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5">
    <w:abstractNumId w:val="6"/>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6">
    <w:abstractNumId w:val="2"/>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lvlOverride w:ilvl="0">
      <w:startOverride w:val="1"/>
    </w:lvlOverride>
  </w:num>
  <w:num w:numId="7">
    <w:abstractNumId w:val="3"/>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avePreviewPicture/>
  <w:proofState w:spelling="clean" w:grammar="clean"/>
  <w:defaultTabStop w:val="420"/>
  <w:displayHorizontalDrawingGridEvery w:val="0"/>
  <w:displayVerticalDrawingGridEvery w:val="2"/>
  <w:characterSpacingControl w:val="compressPunctuation"/>
  <w:hdrShapeDefaults>
    <o:shapedefaults v:ext="edit" spidmax="2050"/>
    <o:shapelayout v:ext="edit">
      <o:idmap v:ext="edit" data="1"/>
    </o:shapelayout>
  </w:hdrShapeDefaults>
  <w:compat>
    <w:balanceSingleByteDoubleByteWidth/>
    <w:adjustLineHeightInTable/>
    <w:useFELayout/>
    <w:compatSetting w:name="compatibilityMode" w:uri="http://schemas.microsoft.com/office/word" w:val="15"/>
    <w:ulTrailSpace/>
  </w:compat>
  <m:mathPr>
    <m:mathFont m:value="Cambria Math"/>
    <m:brkBin m:value="before"/>
    <m:brkBinSub m:value="--"/>
    <m:smallFrac m:value="off"/>
    <m:dispDef/>
    <m:lMargin m:value="0"/>
    <m:rMargin m:value="0"/>
    <m:defJc m:value="centerGroup"/>
    <m:wrapIndent m:value="1440"/>
    <m:intLim m:value="subSup"/>
    <m:naryLim m:value="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w:docDefaults>
    <w:pPrDefault>
      <w:pPr>
        <w:autoSpaceDE w:val="1"/>
        <w:autoSpaceDN w:val="1"/>
        <w:ind w:firstLine="200"/>
        <w:jc w:val="both"/>
        <w:widowControl/>
        <w:wordWrap/>
      </w:pPr>
    </w:pPrDefault>
    <w:rPrDefault>
      <w:rPr>
        <w:rFonts w:ascii="Calibri" w:eastAsia="宋体" w:hAnsi="Calibri"/>
        <w:shd w:val="clear"/>
        <w:sz w:val="21"/>
        <w:szCs w:val="21"/>
        <w:w w:val="100"/>
      </w:rPr>
    </w:rPrDefault>
  </w:docDefaults>
  <w:style w:default="1" w:styleId="PO1" w:type="paragraph">
    <w:name w:val="Normal"/>
    <w:qFormat/>
    <w:uiPriority w:val="1"/>
    <w:pPr>
      <w:autoSpaceDE w:val="1"/>
      <w:autoSpaceDN w:val="1"/>
      <w:ind w:firstLine="0"/>
      <w:widowControl/>
      <w:wordWrap/>
    </w:pPr>
    <w:rPr>
      <w:rFonts w:ascii="Times New Roman" w:eastAsia="Times New Roman" w:hAnsi="Times New Roman"/>
      <w:shd w:val="clear"/>
      <w:sz w:val="20"/>
      <w:szCs w:val="20"/>
      <w:w w:val="100"/>
    </w:rPr>
  </w:style>
  <w:style w:default="1" w:styleId="PO2" w:type="character">
    <w:name w:val="Default Paragraph Font"/>
    <w:uiPriority w:val="2"/>
    <w:semiHidden/>
    <w:unhideWhenUsed/>
  </w:style>
  <w:style w:default="1" w:styleId="PO3" w:type="table">
    <w:name w:val="Normal Table"/>
    <w:basedOn w:val="PO3"/>
    <w:uiPriority w:val="3"/>
    <w:tblPr>
      <w:tblCellMar>
        <w:bottom w:type="dxa" w:w="0"/>
        <w:left w:type="dxa" w:w="108"/>
        <w:right w:type="dxa" w:w="108"/>
        <w:top w:type="dxa" w:w="0"/>
      </w:tblCellMar>
      <w:tblInd w:type="dxa" w:w="0"/>
    </w:tblPr>
  </w:style>
  <w:style w:default="1" w:styleId="PO4" w:type="numbering">
    <w:name w:val="No List"/>
    <w:uiPriority w:val="4"/>
    <w:semiHidden/>
    <w:unhideWhenUsed/>
  </w:style>
  <w:style w:styleId="PO5" w:type="paragraph">
    <w:name w:val="No Spacing"/>
    <w:link w:val="PO-1"/>
    <w:qFormat/>
    <w:uiPriority w:val="5"/>
    <w:pPr>
      <w:autoSpaceDE w:val="1"/>
      <w:autoSpaceDN w:val="1"/>
      <w:jc w:val="both"/>
      <w:widowControl/>
      <w:wordWrap/>
    </w:pPr>
    <w:rPr>
      <w:shd w:val="clear"/>
      <w:sz w:val="21"/>
      <w:szCs w:val="21"/>
      <w:w w:val="100"/>
    </w:rPr>
  </w:style>
  <w:style w:styleId="PO6" w:type="paragraph">
    <w:name w:val="Title"/>
    <w:link w:val="PO-1"/>
    <w:qFormat/>
    <w:uiPriority w:val="6"/>
    <w:pPr>
      <w:autoSpaceDE w:val="1"/>
      <w:autoSpaceDN w:val="1"/>
      <w:jc w:val="center"/>
      <w:widowControl/>
      <w:wordWrap/>
    </w:pPr>
    <w:rPr>
      <w:b/>
      <w:shd w:val="clear"/>
      <w:sz w:val="32"/>
      <w:szCs w:val="32"/>
      <w:w w:val="100"/>
    </w:rPr>
  </w:style>
  <w:style w:styleId="PO7" w:type="paragraph">
    <w:name w:val="heading 1"/>
    <w:link w:val="PO-1"/>
    <w:qFormat/>
    <w:uiPriority w:val="7"/>
    <w:pPr>
      <w:autoSpaceDE w:val="1"/>
      <w:autoSpaceDN w:val="1"/>
      <w:jc w:val="both"/>
      <w:widowControl/>
      <w:wordWrap/>
    </w:pPr>
    <w:rPr>
      <w:shd w:val="clear"/>
      <w:sz w:val="28"/>
      <w:szCs w:val="28"/>
      <w:w w:val="100"/>
    </w:rPr>
  </w:style>
  <w:style w:styleId="PO8" w:type="paragraph">
    <w:name w:val="heading 2"/>
    <w:link w:val="PO-1"/>
    <w:qFormat/>
    <w:uiPriority w:val="8"/>
    <w:pPr>
      <w:autoSpaceDE w:val="1"/>
      <w:autoSpaceDN w:val="1"/>
      <w:jc w:val="both"/>
      <w:widowControl/>
      <w:wordWrap/>
    </w:pPr>
    <w:rPr>
      <w:shd w:val="clear"/>
      <w:sz w:val="21"/>
      <w:szCs w:val="21"/>
      <w:w w:val="100"/>
    </w:rPr>
  </w:style>
  <w:style w:styleId="PO9" w:type="paragraph">
    <w:name w:val="heading 3"/>
    <w:link w:val="PO-1"/>
    <w:qFormat/>
    <w:uiPriority w:val="9"/>
    <w:pPr>
      <w:autoSpaceDE w:val="1"/>
      <w:autoSpaceDN w:val="1"/>
      <w:ind w:left="1000" w:hanging="400"/>
      <w:jc w:val="both"/>
      <w:widowControl/>
      <w:wordWrap/>
    </w:pPr>
    <w:rPr>
      <w:shd w:val="clear"/>
      <w:sz w:val="21"/>
      <w:szCs w:val="21"/>
      <w:w w:val="100"/>
    </w:rPr>
  </w:style>
  <w:style w:styleId="PO10" w:type="paragraph">
    <w:name w:val="heading 4"/>
    <w:link w:val="PO-1"/>
    <w:qFormat/>
    <w:uiPriority w:val="10"/>
    <w:pPr>
      <w:autoSpaceDE w:val="1"/>
      <w:autoSpaceDN w:val="1"/>
      <w:ind w:left="1200" w:hanging="400"/>
      <w:jc w:val="both"/>
      <w:widowControl/>
      <w:wordWrap/>
    </w:pPr>
    <w:rPr>
      <w:b/>
      <w:shd w:val="clear"/>
      <w:sz w:val="21"/>
      <w:szCs w:val="21"/>
      <w:w w:val="100"/>
    </w:rPr>
  </w:style>
  <w:style w:styleId="PO11" w:type="paragraph">
    <w:name w:val="heading 5"/>
    <w:link w:val="PO-1"/>
    <w:qFormat/>
    <w:uiPriority w:val="11"/>
    <w:pPr>
      <w:autoSpaceDE w:val="1"/>
      <w:autoSpaceDN w:val="1"/>
      <w:ind w:left="1400" w:hanging="400"/>
      <w:jc w:val="both"/>
      <w:widowControl/>
      <w:wordWrap/>
    </w:pPr>
    <w:rPr>
      <w:shd w:val="clear"/>
      <w:sz w:val="21"/>
      <w:szCs w:val="21"/>
      <w:w w:val="100"/>
    </w:rPr>
  </w:style>
  <w:style w:styleId="PO12" w:type="paragraph">
    <w:name w:val="heading 6"/>
    <w:link w:val="PO-1"/>
    <w:qFormat/>
    <w:uiPriority w:val="12"/>
    <w:pPr>
      <w:autoSpaceDE w:val="1"/>
      <w:autoSpaceDN w:val="1"/>
      <w:ind w:left="1600" w:hanging="400"/>
      <w:jc w:val="both"/>
      <w:widowControl/>
      <w:wordWrap/>
    </w:pPr>
    <w:rPr>
      <w:b/>
      <w:shd w:val="clear"/>
      <w:sz w:val="21"/>
      <w:szCs w:val="21"/>
      <w:w w:val="100"/>
    </w:rPr>
  </w:style>
  <w:style w:styleId="PO13" w:type="paragraph">
    <w:name w:val="heading 7"/>
    <w:link w:val="PO-1"/>
    <w:qFormat/>
    <w:uiPriority w:val="13"/>
    <w:pPr>
      <w:autoSpaceDE w:val="1"/>
      <w:autoSpaceDN w:val="1"/>
      <w:ind w:left="1800" w:hanging="400"/>
      <w:jc w:val="both"/>
      <w:widowControl/>
      <w:wordWrap/>
    </w:pPr>
    <w:rPr>
      <w:shd w:val="clear"/>
      <w:sz w:val="21"/>
      <w:szCs w:val="21"/>
      <w:w w:val="100"/>
    </w:rPr>
  </w:style>
  <w:style w:styleId="PO14" w:type="paragraph">
    <w:name w:val="heading 8"/>
    <w:link w:val="PO-1"/>
    <w:qFormat/>
    <w:uiPriority w:val="14"/>
    <w:pPr>
      <w:autoSpaceDE w:val="1"/>
      <w:autoSpaceDN w:val="1"/>
      <w:ind w:left="2000" w:hanging="400"/>
      <w:jc w:val="both"/>
      <w:widowControl/>
      <w:wordWrap/>
    </w:pPr>
    <w:rPr>
      <w:shd w:val="clear"/>
      <w:sz w:val="21"/>
      <w:szCs w:val="21"/>
      <w:w w:val="100"/>
    </w:rPr>
  </w:style>
  <w:style w:styleId="PO15" w:type="paragraph">
    <w:name w:val="heading 9"/>
    <w:link w:val="PO-1"/>
    <w:qFormat/>
    <w:uiPriority w:val="15"/>
    <w:pPr>
      <w:autoSpaceDE w:val="1"/>
      <w:autoSpaceDN w:val="1"/>
      <w:ind w:left="2200" w:hanging="400"/>
      <w:jc w:val="both"/>
      <w:widowControl/>
      <w:wordWrap/>
    </w:pPr>
    <w:rPr>
      <w:shd w:val="clear"/>
      <w:sz w:val="21"/>
      <w:szCs w:val="21"/>
      <w:w w:val="100"/>
    </w:rPr>
  </w:style>
  <w:style w:styleId="PO16" w:type="paragraph">
    <w:name w:val="Subtitle"/>
    <w:link w:val="PO-1"/>
    <w:qFormat/>
    <w:uiPriority w:val="16"/>
    <w:pPr>
      <w:autoSpaceDE w:val="1"/>
      <w:autoSpaceDN w:val="1"/>
      <w:jc w:val="center"/>
      <w:widowControl/>
      <w:wordWrap/>
    </w:pPr>
    <w:rPr>
      <w:shd w:val="clear"/>
      <w:sz w:val="24"/>
      <w:szCs w:val="24"/>
      <w:w w:val="100"/>
    </w:rPr>
  </w:style>
  <w:style w:styleId="PO17" w:type="character">
    <w:name w:val="Subtle Emphasis"/>
    <w:qFormat/>
    <w:uiPriority w:val="17"/>
    <w:rPr>
      <w:color w:val="404040"/>
      <w:i/>
      <w:shd w:val="clear"/>
      <w:sz w:val="21"/>
      <w:szCs w:val="21"/>
      <w:w w:val="100"/>
    </w:rPr>
  </w:style>
  <w:style w:styleId="PO18" w:type="character">
    <w:name w:val="Emphasis"/>
    <w:qFormat/>
    <w:uiPriority w:val="18"/>
    <w:rPr>
      <w:i/>
      <w:shd w:val="clear"/>
      <w:sz w:val="21"/>
      <w:szCs w:val="21"/>
      <w:w w:val="100"/>
    </w:rPr>
  </w:style>
  <w:style w:styleId="PO19" w:type="character">
    <w:name w:val="Intense Emphasis"/>
    <w:qFormat/>
    <w:uiPriority w:val="19"/>
    <w:rPr>
      <w:color w:val="5B9BD5"/>
      <w:i/>
      <w:shd w:val="clear"/>
      <w:sz w:val="21"/>
      <w:szCs w:val="21"/>
      <w:w w:val="100"/>
    </w:rPr>
  </w:style>
  <w:style w:styleId="PO20" w:type="character">
    <w:name w:val="Strong"/>
    <w:qFormat/>
    <w:uiPriority w:val="20"/>
    <w:rPr>
      <w:b/>
      <w:shd w:val="clear"/>
      <w:sz w:val="21"/>
      <w:szCs w:val="21"/>
      <w:w w:val="100"/>
    </w:rPr>
  </w:style>
  <w:style w:styleId="PO21" w:type="paragraph">
    <w:name w:val="Quote"/>
    <w:link w:val="PO-1"/>
    <w:qFormat/>
    <w:uiPriority w:val="21"/>
    <w:pPr>
      <w:autoSpaceDE w:val="1"/>
      <w:autoSpaceDN w:val="1"/>
      <w:ind w:left="864" w:right="864" w:firstLine="0"/>
      <w:jc w:val="center"/>
      <w:widowControl/>
      <w:wordWrap/>
    </w:pPr>
    <w:rPr>
      <w:color w:val="404040"/>
      <w:i/>
      <w:shd w:val="clear"/>
      <w:sz w:val="21"/>
      <w:szCs w:val="21"/>
      <w:w w:val="100"/>
    </w:rPr>
  </w:style>
  <w:style w:styleId="PO22" w:type="paragraph">
    <w:name w:val="Intense Quote"/>
    <w:link w:val="PO-1"/>
    <w:qFormat/>
    <w:uiPriority w:val="22"/>
    <w:pPr>
      <w:autoSpaceDE w:val="1"/>
      <w:autoSpaceDN w:val="1"/>
      <w:ind w:left="950" w:right="950" w:firstLine="0"/>
      <w:jc w:val="center"/>
      <w:widowControl/>
      <w:wordWrap/>
    </w:pPr>
    <w:rPr>
      <w:color w:val="5B9BD5"/>
      <w:i/>
      <w:shd w:val="clear"/>
      <w:sz w:val="21"/>
      <w:szCs w:val="21"/>
      <w:w w:val="100"/>
    </w:rPr>
  </w:style>
  <w:style w:styleId="PO23" w:type="character">
    <w:name w:val="Subtle Reference"/>
    <w:qFormat/>
    <w:uiPriority w:val="23"/>
    <w:rPr>
      <w:color w:val="5A5A5A"/>
      <w:shd w:val="clear"/>
      <w:smallCaps/>
      <w:sz w:val="21"/>
      <w:szCs w:val="21"/>
      <w:w w:val="100"/>
    </w:rPr>
  </w:style>
  <w:style w:styleId="PO24" w:type="character">
    <w:name w:val="Intense Reference"/>
    <w:qFormat/>
    <w:uiPriority w:val="24"/>
    <w:rPr>
      <w:color w:val="5B9BD5"/>
      <w:b/>
      <w:shd w:val="clear"/>
      <w:smallCaps/>
      <w:sz w:val="21"/>
      <w:szCs w:val="21"/>
      <w:w w:val="100"/>
    </w:rPr>
  </w:style>
  <w:style w:styleId="PO25" w:type="character">
    <w:name w:val="Book Title"/>
    <w:qFormat/>
    <w:uiPriority w:val="25"/>
    <w:rPr>
      <w:i/>
      <w:b/>
      <w:shd w:val="clear"/>
      <w:sz w:val="21"/>
      <w:szCs w:val="21"/>
      <w:w w:val="100"/>
    </w:rPr>
  </w:style>
  <w:style w:styleId="PO26" w:type="paragraph">
    <w:name w:val="List Paragraph"/>
    <w:basedOn w:val="PO1"/>
    <w:qFormat/>
    <w:uiPriority w:val="26"/>
    <w:pPr>
      <w:autoSpaceDE w:val="1"/>
      <w:autoSpaceDN w:val="1"/>
      <w:ind w:firstLine="420"/>
      <w:widowControl/>
      <w:wordWrap/>
    </w:pPr>
    <w:rPr>
      <w:rFonts w:ascii="Calibri" w:eastAsia="宋体" w:hAnsi="Calibri"/>
      <w:shd w:val="clear"/>
      <w:sz w:val="20"/>
      <w:szCs w:val="20"/>
      <w:w w:val="100"/>
    </w:rPr>
  </w:style>
  <w:style w:styleId="PO27" w:type="paragraph">
    <w:name w:val="TOC Heading"/>
    <w:link w:val="PO-1"/>
    <w:qFormat/>
    <w:uiPriority w:val="27"/>
    <w:unhideWhenUsed/>
    <w:pPr>
      <w:autoSpaceDE w:val="1"/>
      <w:autoSpaceDN w:val="1"/>
      <w:widowControl/>
      <w:wordWrap/>
    </w:pPr>
    <w:rPr>
      <w:color w:val="2E74B5"/>
      <w:shd w:val="clear"/>
      <w:sz w:val="32"/>
      <w:szCs w:val="32"/>
      <w:w w:val="100"/>
    </w:rPr>
  </w:style>
  <w:style w:styleId="PO28" w:type="paragraph">
    <w:name w:val="toc 1"/>
    <w:basedOn w:val="PO1"/>
    <w:next w:val="PO1"/>
    <w:uiPriority w:val="28"/>
    <w:semiHidden/>
    <w:pPr>
      <w:autoSpaceDE w:val="1"/>
      <w:autoSpaceDN w:val="1"/>
      <w:tabs>
        <w:tab w:val="right" w:leader="dot" w:pos="9345"/>
      </w:tabs>
      <w:widowControl/>
      <w:wordWrap/>
    </w:pPr>
    <w:rPr>
      <w:caps/>
      <w:rFonts w:ascii="宋体" w:eastAsia="宋体" w:hAnsi="宋体"/>
      <w:shd w:val="clear"/>
      <w:sz w:val="24"/>
      <w:szCs w:val="24"/>
      <w:w w:val="100"/>
    </w:rPr>
  </w:style>
  <w:style w:styleId="PO29" w:type="paragraph">
    <w:name w:val="toc 2"/>
    <w:link w:val="PO-1"/>
    <w:qFormat/>
    <w:uiPriority w:val="29"/>
    <w:unhideWhenUsed/>
    <w:pPr>
      <w:autoSpaceDE w:val="1"/>
      <w:autoSpaceDN w:val="1"/>
      <w:ind w:left="425" w:firstLine="0"/>
      <w:jc w:val="both"/>
      <w:widowControl/>
      <w:wordWrap/>
    </w:pPr>
    <w:rPr>
      <w:shd w:val="clear"/>
      <w:sz w:val="21"/>
      <w:szCs w:val="21"/>
      <w:w w:val="100"/>
    </w:rPr>
  </w:style>
  <w:style w:styleId="PO30" w:type="paragraph">
    <w:name w:val="toc 3"/>
    <w:link w:val="PO-1"/>
    <w:qFormat/>
    <w:uiPriority w:val="30"/>
    <w:unhideWhenUsed/>
    <w:pPr>
      <w:autoSpaceDE w:val="1"/>
      <w:autoSpaceDN w:val="1"/>
      <w:ind w:left="850" w:firstLine="0"/>
      <w:jc w:val="both"/>
      <w:widowControl/>
      <w:wordWrap/>
    </w:pPr>
    <w:rPr>
      <w:shd w:val="clear"/>
      <w:sz w:val="21"/>
      <w:szCs w:val="21"/>
      <w:w w:val="100"/>
    </w:rPr>
  </w:style>
  <w:style w:styleId="PO31" w:type="paragraph">
    <w:name w:val="toc 4"/>
    <w:link w:val="PO-1"/>
    <w:qFormat/>
    <w:uiPriority w:val="31"/>
    <w:unhideWhenUsed/>
    <w:pPr>
      <w:autoSpaceDE w:val="1"/>
      <w:autoSpaceDN w:val="1"/>
      <w:ind w:left="1275" w:firstLine="0"/>
      <w:jc w:val="both"/>
      <w:widowControl/>
      <w:wordWrap/>
    </w:pPr>
    <w:rPr>
      <w:shd w:val="clear"/>
      <w:sz w:val="21"/>
      <w:szCs w:val="21"/>
      <w:w w:val="100"/>
    </w:rPr>
  </w:style>
  <w:style w:styleId="PO32" w:type="paragraph">
    <w:name w:val="toc 5"/>
    <w:link w:val="PO-1"/>
    <w:qFormat/>
    <w:uiPriority w:val="32"/>
    <w:unhideWhenUsed/>
    <w:pPr>
      <w:autoSpaceDE w:val="1"/>
      <w:autoSpaceDN w:val="1"/>
      <w:ind w:left="1700" w:firstLine="0"/>
      <w:jc w:val="both"/>
      <w:widowControl/>
      <w:wordWrap/>
    </w:pPr>
    <w:rPr>
      <w:shd w:val="clear"/>
      <w:sz w:val="21"/>
      <w:szCs w:val="21"/>
      <w:w w:val="100"/>
    </w:rPr>
  </w:style>
  <w:style w:styleId="PO33" w:type="paragraph">
    <w:name w:val="toc 6"/>
    <w:link w:val="PO-1"/>
    <w:qFormat/>
    <w:uiPriority w:val="33"/>
    <w:unhideWhenUsed/>
    <w:pPr>
      <w:autoSpaceDE w:val="1"/>
      <w:autoSpaceDN w:val="1"/>
      <w:ind w:left="2125" w:firstLine="0"/>
      <w:jc w:val="both"/>
      <w:widowControl/>
      <w:wordWrap/>
    </w:pPr>
    <w:rPr>
      <w:shd w:val="clear"/>
      <w:sz w:val="21"/>
      <w:szCs w:val="21"/>
      <w:w w:val="100"/>
    </w:rPr>
  </w:style>
  <w:style w:styleId="PO34" w:type="paragraph">
    <w:name w:val="toc 7"/>
    <w:link w:val="PO-1"/>
    <w:qFormat/>
    <w:uiPriority w:val="34"/>
    <w:unhideWhenUsed/>
    <w:pPr>
      <w:autoSpaceDE w:val="1"/>
      <w:autoSpaceDN w:val="1"/>
      <w:ind w:left="2550" w:firstLine="0"/>
      <w:jc w:val="both"/>
      <w:widowControl/>
      <w:wordWrap/>
    </w:pPr>
    <w:rPr>
      <w:shd w:val="clear"/>
      <w:sz w:val="21"/>
      <w:szCs w:val="21"/>
      <w:w w:val="100"/>
    </w:rPr>
  </w:style>
  <w:style w:styleId="PO35" w:type="paragraph">
    <w:name w:val="toc 8"/>
    <w:link w:val="PO-1"/>
    <w:qFormat/>
    <w:uiPriority w:val="35"/>
    <w:unhideWhenUsed/>
    <w:pPr>
      <w:autoSpaceDE w:val="1"/>
      <w:autoSpaceDN w:val="1"/>
      <w:ind w:left="2975" w:firstLine="0"/>
      <w:jc w:val="both"/>
      <w:widowControl/>
      <w:wordWrap/>
    </w:pPr>
    <w:rPr>
      <w:shd w:val="clear"/>
      <w:sz w:val="21"/>
      <w:szCs w:val="21"/>
      <w:w w:val="100"/>
    </w:rPr>
  </w:style>
  <w:style w:styleId="PO36" w:type="paragraph">
    <w:name w:val="toc 9"/>
    <w:link w:val="PO-1"/>
    <w:qFormat/>
    <w:uiPriority w:val="36"/>
    <w:unhideWhenUsed/>
    <w:pPr>
      <w:autoSpaceDE w:val="1"/>
      <w:autoSpaceDN w:val="1"/>
      <w:ind w:left="3400" w:firstLine="0"/>
      <w:jc w:val="both"/>
      <w:widowControl/>
      <w:wordWrap/>
    </w:pPr>
    <w:rPr>
      <w:shd w:val="clear"/>
      <w:sz w:val="21"/>
      <w:szCs w:val="21"/>
      <w:w w:val="100"/>
    </w:rPr>
  </w:style>
  <w:style w:default="1" w:styleId="PO37" w:type="table">
    <w:name w:val="Normal Table"/>
    <w:basedOn w:val="PO3"/>
    <w:uiPriority w:val="37"/>
    <w:tblPr>
      <w:tblCellMar>
        <w:bottom w:type="dxa" w:w="0"/>
        <w:left w:type="dxa" w:w="108"/>
        <w:right w:type="dxa" w:w="108"/>
        <w:top w:type="dxa" w:w="0"/>
      </w:tblCellMar>
      <w:tblInd w:type="dxa" w:w="0"/>
    </w:tblPr>
  </w:style>
  <w:style w:styleId="PO152" w:type="paragraph">
    <w:name w:val="Body Text 2"/>
    <w:basedOn w:val="PO1"/>
    <w:link w:val="PO153"/>
    <w:uiPriority w:val="152"/>
    <w:rPr>
      <w:rFonts w:ascii="宋体" w:eastAsia="宋体" w:hAnsi="宋体"/>
      <w:shd w:val="clear"/>
      <w:sz w:val="24"/>
      <w:szCs w:val="24"/>
      <w:w w:val="100"/>
    </w:rPr>
  </w:style>
  <w:style w:customStyle="1" w:styleId="PO153" w:type="character">
    <w:name w:val="正文文本 2 Char"/>
    <w:basedOn w:val="PO2"/>
    <w:link w:val="PO152"/>
    <w:uiPriority w:val="153"/>
    <w:rPr>
      <w:rFonts w:ascii="宋体" w:eastAsia="Times New Roman" w:hAnsi="宋体"/>
      <w:shd w:val="clear"/>
      <w:sz w:val="24"/>
      <w:szCs w:val="24"/>
      <w:w w:val="100"/>
    </w:rPr>
  </w:style>
  <w:style w:styleId="PO154" w:type="paragraph">
    <w:name w:val="header"/>
    <w:basedOn w:val="PO1"/>
    <w:link w:val="PO155"/>
    <w:uiPriority w:val="154"/>
    <w:semiHidden/>
    <w:unhideWhenUsed/>
    <w:pPr>
      <w:autoSpaceDE w:val="1"/>
      <w:autoSpaceDN w:val="1"/>
      <w:jc w:val="center"/>
      <w:tabs>
        <w:tab w:val="center" w:pos="4153"/>
        <w:tab w:val="right" w:pos="8306"/>
      </w:tabs>
      <w:widowControl/>
      <w:wordWrap/>
    </w:pPr>
    <w:rPr>
      <w:shd w:val="clear"/>
      <w:sz w:val="18"/>
      <w:szCs w:val="18"/>
      <w:w w:val="100"/>
    </w:rPr>
  </w:style>
  <w:style w:customStyle="1" w:styleId="PO155" w:type="character">
    <w:name w:val="页眉 Char"/>
    <w:basedOn w:val="PO2"/>
    <w:link w:val="PO154"/>
    <w:uiPriority w:val="155"/>
    <w:semiHidden/>
    <w:rPr>
      <w:rFonts w:ascii="Times New Roman" w:eastAsia="Times New Roman" w:hAnsi="Times New Roman"/>
      <w:shd w:val="clear"/>
      <w:sz w:val="18"/>
      <w:szCs w:val="18"/>
      <w:w w:val="100"/>
    </w:rPr>
  </w:style>
  <w:style w:styleId="PO156" w:type="paragraph">
    <w:name w:val="footer"/>
    <w:basedOn w:val="PO1"/>
    <w:link w:val="PO157"/>
    <w:uiPriority w:val="156"/>
    <w:semiHidden/>
    <w:unhideWhenUsed/>
    <w:pPr>
      <w:autoSpaceDE w:val="1"/>
      <w:autoSpaceDN w:val="1"/>
      <w:tabs>
        <w:tab w:val="center" w:pos="4153"/>
        <w:tab w:val="right" w:pos="8306"/>
      </w:tabs>
      <w:widowControl/>
      <w:wordWrap/>
    </w:pPr>
    <w:rPr>
      <w:shd w:val="clear"/>
      <w:sz w:val="18"/>
      <w:szCs w:val="18"/>
      <w:w w:val="100"/>
    </w:rPr>
  </w:style>
  <w:style w:customStyle="1" w:styleId="PO157" w:type="character">
    <w:name w:val="页脚 Char"/>
    <w:basedOn w:val="PO2"/>
    <w:link w:val="PO156"/>
    <w:uiPriority w:val="157"/>
    <w:semiHidden/>
    <w:rPr>
      <w:rFonts w:ascii="Times New Roman" w:eastAsia="Times New Roman" w:hAnsi="Times New Roman"/>
      <w:shd w:val="clear"/>
      <w:sz w:val="18"/>
      <w:szCs w:val="18"/>
      <w:w w:val="1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Relationship Id="rId1" Type="http://schemas.openxmlformats.org/officeDocument/2006/relationships/webSettings" Target="webSettings.xml"></Relationship><Relationship Id="rId2" Type="http://schemas.openxmlformats.org/officeDocument/2006/relationships/fontTable" Target="fontTable.xml"></Relationship><Relationship Id="rId3" Type="http://schemas.openxmlformats.org/officeDocument/2006/relationships/settings" Target="settings.xml"></Relationship><Relationship Id="rId4" Type="http://schemas.openxmlformats.org/officeDocument/2006/relationships/styles" Target="styles.xml"></Relationship><Relationship Id="rId5" Type="http://schemas.openxmlformats.org/officeDocument/2006/relationships/header" Target="header2.xml"></Relationship><Relationship Id="rId6" Type="http://schemas.openxmlformats.org/officeDocument/2006/relationships/header" Target="header3.xml"></Relationship><Relationship Id="rId7" Type="http://schemas.openxmlformats.org/officeDocument/2006/relationships/footer" Target="footer5.xml"></Relationship><Relationship Id="rId8" Type="http://schemas.openxmlformats.org/officeDocument/2006/relationships/footer" Target="footer6.xml"></Relationship><Relationship Id="rId9" Type="http://schemas.openxmlformats.org/officeDocument/2006/relationships/header" Target="header4.xml"></Relationship><Relationship Id="rId10" Type="http://schemas.openxmlformats.org/officeDocument/2006/relationships/footer" Target="footer7.xml"></Relationship><Relationship Id="rId11" Type="http://schemas.openxmlformats.org/officeDocument/2006/relationships/numbering" Target="numbering.xml"></Relationship><Relationship Id="rId12" Type="http://schemas.openxmlformats.org/officeDocument/2006/relationships/theme" Target="theme/theme1.xml"></Relationshi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JisuOffice Write</Application>
  <AppVersion>12.000</AppVersion>
  <Characters>0</Characters>
  <CharactersWithSpaces>0</CharactersWithSpaces>
  <DocSecurity>0</DocSecurity>
  <HyperlinksChanged>false</HyperlinksChanged>
  <Lines>7</Lines>
  <LinksUpToDate>false</LinksUpToDate>
  <Pages>2</Pages>
  <Paragraphs>2</Paragraphs>
  <Words>156</Words>
  <TotalTime>0</TotalTime>
  <MMClips>0</MMClips>
  <ScaleCrop>false</ScaleCrop>
  <HeadingPairs>
    <vt:vector size="2" baseType="variant">
      <vt:variant>
        <vt:lpstr>제목</vt:lpstr>
      </vt:variant>
      <vt:variant>
        <vt:i4>1</vt:i4>
      </vt:variant>
    </vt:vector>
  </HeadingPairs>
  <TitlesOfParts>
    <vt:vector size="1" baseType="lpstr">
      <vt:lpstr>Title text</vt:lpstr>
    </vt:vector>
  </TitlesOfParts>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creator>微软用户</dc:creator>
  <cp:lastModifiedBy/>
  <dcterms:modified xsi:type="dcterms:W3CDTF">2019-03-03T10:41:00Z</dcterms:modified>
</cp:coreProperties>
</file>