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E1" w:rsidRDefault="00D515E1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:rsidR="00D515E1" w:rsidRDefault="00D515E1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考试科目名称：管理会计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一、援引教材</w:t>
      </w:r>
    </w:p>
    <w:p w:rsidR="00D515E1" w:rsidRDefault="00D515E1" w:rsidP="00C660AF">
      <w:pPr>
        <w:ind w:firstLineChars="200" w:firstLine="31680"/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《管理会计学》，第七版，中国人民大学会计系列教材，孙茂竹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文光伟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杨万贵，</w:t>
      </w:r>
      <w:r>
        <w:rPr>
          <w:rFonts w:ascii="宋体" w:hAnsi="宋体" w:cs="Arial"/>
          <w:color w:val="000000"/>
          <w:kern w:val="0"/>
          <w:sz w:val="28"/>
          <w:szCs w:val="28"/>
        </w:rPr>
        <w:t>2015</w:t>
      </w:r>
    </w:p>
    <w:p w:rsidR="00D515E1" w:rsidRDefault="00D515E1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考试要求</w:t>
      </w:r>
    </w:p>
    <w:p w:rsidR="00D515E1" w:rsidRDefault="00D515E1" w:rsidP="00C660AF">
      <w:pPr>
        <w:ind w:firstLineChars="2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要求考生系统掌握管理会计的</w:t>
      </w:r>
      <w:r>
        <w:rPr>
          <w:rFonts w:ascii="宋体" w:hAnsi="宋体" w:hint="eastAsia"/>
          <w:color w:val="000000"/>
          <w:sz w:val="28"/>
          <w:szCs w:val="28"/>
        </w:rPr>
        <w:t>基本概念、基本理论、基本知识和基本方法，具备应用上述知识分析问题、解决问题的能力。</w:t>
      </w:r>
    </w:p>
    <w:p w:rsidR="00D515E1" w:rsidRDefault="00D515E1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三</w:t>
      </w:r>
      <w:bookmarkStart w:id="0" w:name="_GoBack"/>
      <w:bookmarkEnd w:id="0"/>
      <w:r>
        <w:rPr>
          <w:rFonts w:ascii="宋体" w:hAnsi="宋体" w:hint="eastAsia"/>
          <w:color w:val="000000"/>
          <w:sz w:val="28"/>
          <w:szCs w:val="28"/>
        </w:rPr>
        <w:t>、考试内容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1)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管理会计概论</w:t>
      </w:r>
    </w:p>
    <w:p w:rsidR="00D515E1" w:rsidRDefault="00D515E1">
      <w:pPr>
        <w:numPr>
          <w:ilvl w:val="0"/>
          <w:numId w:val="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管理会计的定义</w:t>
      </w:r>
    </w:p>
    <w:p w:rsidR="00D515E1" w:rsidRDefault="00D515E1">
      <w:pPr>
        <w:numPr>
          <w:ilvl w:val="0"/>
          <w:numId w:val="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管理会计的形成与发展</w:t>
      </w:r>
    </w:p>
    <w:p w:rsidR="00D515E1" w:rsidRDefault="00D515E1">
      <w:pPr>
        <w:numPr>
          <w:ilvl w:val="0"/>
          <w:numId w:val="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管理会计的基本理论</w:t>
      </w:r>
    </w:p>
    <w:p w:rsidR="00D515E1" w:rsidRDefault="00D515E1">
      <w:pPr>
        <w:numPr>
          <w:ilvl w:val="0"/>
          <w:numId w:val="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管理会计与财务会计的区别与联系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2)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变动成本法</w:t>
      </w:r>
    </w:p>
    <w:p w:rsidR="00D515E1" w:rsidRDefault="00D515E1">
      <w:pPr>
        <w:numPr>
          <w:ilvl w:val="0"/>
          <w:numId w:val="2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成本分类</w:t>
      </w:r>
    </w:p>
    <w:p w:rsidR="00D515E1" w:rsidRDefault="00D515E1">
      <w:pPr>
        <w:numPr>
          <w:ilvl w:val="0"/>
          <w:numId w:val="2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混合成本的分解</w:t>
      </w:r>
    </w:p>
    <w:p w:rsidR="00D515E1" w:rsidRDefault="00D515E1">
      <w:pPr>
        <w:numPr>
          <w:ilvl w:val="0"/>
          <w:numId w:val="2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变动成本法与完全成本法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3)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本</w:t>
      </w:r>
      <w:r>
        <w:rPr>
          <w:rFonts w:ascii="宋体" w:hAnsi="宋体" w:cs="Arial"/>
          <w:color w:val="000000"/>
          <w:kern w:val="0"/>
          <w:sz w:val="28"/>
          <w:szCs w:val="28"/>
        </w:rPr>
        <w:t>—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量</w:t>
      </w:r>
      <w:r>
        <w:rPr>
          <w:rFonts w:ascii="宋体" w:hAnsi="宋体" w:cs="Arial"/>
          <w:color w:val="000000"/>
          <w:kern w:val="0"/>
          <w:sz w:val="28"/>
          <w:szCs w:val="28"/>
        </w:rPr>
        <w:t>—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利分析</w:t>
      </w:r>
    </w:p>
    <w:p w:rsidR="00D515E1" w:rsidRDefault="00D515E1">
      <w:pPr>
        <w:numPr>
          <w:ilvl w:val="0"/>
          <w:numId w:val="3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本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量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利分析的基本假设</w:t>
      </w:r>
    </w:p>
    <w:p w:rsidR="00D515E1" w:rsidRDefault="00D515E1">
      <w:pPr>
        <w:numPr>
          <w:ilvl w:val="0"/>
          <w:numId w:val="3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本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量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利分析</w:t>
      </w:r>
    </w:p>
    <w:p w:rsidR="00D515E1" w:rsidRDefault="00D515E1">
      <w:pPr>
        <w:numPr>
          <w:ilvl w:val="0"/>
          <w:numId w:val="3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本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量</w:t>
      </w:r>
      <w:r>
        <w:rPr>
          <w:rFonts w:ascii="宋体" w:hAnsi="宋体"/>
          <w:color w:val="000000"/>
          <w:kern w:val="0"/>
          <w:sz w:val="28"/>
          <w:szCs w:val="28"/>
        </w:rPr>
        <w:t>—</w:t>
      </w:r>
      <w:r>
        <w:rPr>
          <w:rFonts w:ascii="宋体" w:hAnsi="宋体" w:hint="eastAsia"/>
          <w:color w:val="000000"/>
          <w:kern w:val="0"/>
          <w:sz w:val="28"/>
          <w:szCs w:val="28"/>
        </w:rPr>
        <w:t>利分析的扩展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4)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经营预测</w:t>
      </w:r>
    </w:p>
    <w:p w:rsidR="00D515E1" w:rsidRDefault="00D515E1">
      <w:pPr>
        <w:numPr>
          <w:ilvl w:val="0"/>
          <w:numId w:val="4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经营预测概述</w:t>
      </w:r>
    </w:p>
    <w:p w:rsidR="00D515E1" w:rsidRDefault="00D515E1">
      <w:pPr>
        <w:numPr>
          <w:ilvl w:val="0"/>
          <w:numId w:val="4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销售预测</w:t>
      </w:r>
    </w:p>
    <w:p w:rsidR="00D515E1" w:rsidRDefault="00D515E1">
      <w:pPr>
        <w:numPr>
          <w:ilvl w:val="0"/>
          <w:numId w:val="4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成本预测</w:t>
      </w:r>
    </w:p>
    <w:p w:rsidR="00D515E1" w:rsidRDefault="00D515E1">
      <w:pPr>
        <w:numPr>
          <w:ilvl w:val="0"/>
          <w:numId w:val="4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利润预测</w:t>
      </w:r>
    </w:p>
    <w:p w:rsidR="00D515E1" w:rsidRDefault="00D515E1">
      <w:pPr>
        <w:numPr>
          <w:ilvl w:val="0"/>
          <w:numId w:val="4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资金需要量预测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5)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经营决策</w:t>
      </w:r>
    </w:p>
    <w:p w:rsidR="00D515E1" w:rsidRDefault="00D515E1">
      <w:pPr>
        <w:numPr>
          <w:ilvl w:val="0"/>
          <w:numId w:val="5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产品功能成本决策</w:t>
      </w:r>
    </w:p>
    <w:p w:rsidR="00D515E1" w:rsidRDefault="00D515E1">
      <w:pPr>
        <w:numPr>
          <w:ilvl w:val="0"/>
          <w:numId w:val="5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品种决策</w:t>
      </w:r>
    </w:p>
    <w:p w:rsidR="00D515E1" w:rsidRDefault="00D515E1">
      <w:pPr>
        <w:numPr>
          <w:ilvl w:val="0"/>
          <w:numId w:val="5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产品组合优化决策</w:t>
      </w:r>
    </w:p>
    <w:p w:rsidR="00D515E1" w:rsidRDefault="00D515E1">
      <w:pPr>
        <w:numPr>
          <w:ilvl w:val="0"/>
          <w:numId w:val="5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生产组织决策</w:t>
      </w:r>
    </w:p>
    <w:p w:rsidR="00D515E1" w:rsidRDefault="00D515E1">
      <w:pPr>
        <w:numPr>
          <w:ilvl w:val="0"/>
          <w:numId w:val="5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定价决策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6)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存货决策</w:t>
      </w:r>
    </w:p>
    <w:p w:rsidR="00D515E1" w:rsidRDefault="00D515E1">
      <w:pPr>
        <w:numPr>
          <w:ilvl w:val="0"/>
          <w:numId w:val="6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存货的成本</w:t>
      </w:r>
    </w:p>
    <w:p w:rsidR="00D515E1" w:rsidRDefault="00D515E1">
      <w:pPr>
        <w:numPr>
          <w:ilvl w:val="0"/>
          <w:numId w:val="6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经济订购批量</w:t>
      </w:r>
    </w:p>
    <w:p w:rsidR="00D515E1" w:rsidRDefault="00D515E1">
      <w:pPr>
        <w:numPr>
          <w:ilvl w:val="0"/>
          <w:numId w:val="6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存货决策模型的扩展应用</w:t>
      </w:r>
    </w:p>
    <w:p w:rsidR="00D515E1" w:rsidRDefault="00D515E1">
      <w:pPr>
        <w:numPr>
          <w:ilvl w:val="0"/>
          <w:numId w:val="6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不确定情况下的存货决策</w:t>
      </w:r>
    </w:p>
    <w:p w:rsidR="00D515E1" w:rsidRDefault="00D515E1">
      <w:pPr>
        <w:numPr>
          <w:ilvl w:val="0"/>
          <w:numId w:val="6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零存货管理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7)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投资决策</w:t>
      </w:r>
    </w:p>
    <w:p w:rsidR="00D515E1" w:rsidRDefault="00D515E1">
      <w:pPr>
        <w:numPr>
          <w:ilvl w:val="0"/>
          <w:numId w:val="7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投资决策的基础</w:t>
      </w:r>
    </w:p>
    <w:p w:rsidR="00D515E1" w:rsidRDefault="00D515E1">
      <w:pPr>
        <w:numPr>
          <w:ilvl w:val="0"/>
          <w:numId w:val="7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投资决策指标</w:t>
      </w:r>
    </w:p>
    <w:p w:rsidR="00D515E1" w:rsidRDefault="00D515E1">
      <w:pPr>
        <w:numPr>
          <w:ilvl w:val="0"/>
          <w:numId w:val="7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几种典型的长期投资决策</w:t>
      </w:r>
    </w:p>
    <w:p w:rsidR="00D515E1" w:rsidRDefault="00D515E1">
      <w:pPr>
        <w:numPr>
          <w:ilvl w:val="0"/>
          <w:numId w:val="7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投资决策的扩展</w:t>
      </w:r>
    </w:p>
    <w:p w:rsidR="00D515E1" w:rsidRDefault="00D515E1">
      <w:pPr>
        <w:numPr>
          <w:ilvl w:val="0"/>
          <w:numId w:val="7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战略管理会计对传统投资决策指标的修正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8)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标准成本法</w:t>
      </w:r>
    </w:p>
    <w:p w:rsidR="00D515E1" w:rsidRDefault="00D515E1">
      <w:pPr>
        <w:numPr>
          <w:ilvl w:val="0"/>
          <w:numId w:val="8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标准成本及成本差异</w:t>
      </w:r>
    </w:p>
    <w:p w:rsidR="00D515E1" w:rsidRDefault="00D515E1">
      <w:pPr>
        <w:numPr>
          <w:ilvl w:val="0"/>
          <w:numId w:val="8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变动成本差异的计算、分析和控制</w:t>
      </w:r>
    </w:p>
    <w:p w:rsidR="00D515E1" w:rsidRDefault="00D515E1">
      <w:pPr>
        <w:numPr>
          <w:ilvl w:val="0"/>
          <w:numId w:val="8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固定制造费用成本差异的计算、分析和控制</w:t>
      </w:r>
    </w:p>
    <w:p w:rsidR="00D515E1" w:rsidRDefault="00D515E1">
      <w:pPr>
        <w:numPr>
          <w:ilvl w:val="0"/>
          <w:numId w:val="8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成本差异的账务处理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9)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作业成本计算法</w:t>
      </w:r>
    </w:p>
    <w:p w:rsidR="00D515E1" w:rsidRDefault="00D515E1">
      <w:pPr>
        <w:numPr>
          <w:ilvl w:val="0"/>
          <w:numId w:val="9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作业成本计算法概述</w:t>
      </w:r>
    </w:p>
    <w:p w:rsidR="00D515E1" w:rsidRDefault="00D515E1">
      <w:pPr>
        <w:numPr>
          <w:ilvl w:val="0"/>
          <w:numId w:val="9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作业成本计算法的基本理论</w:t>
      </w:r>
    </w:p>
    <w:p w:rsidR="00D515E1" w:rsidRDefault="00D515E1">
      <w:pPr>
        <w:numPr>
          <w:ilvl w:val="0"/>
          <w:numId w:val="9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作业成本计算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10)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全面预算管理</w:t>
      </w:r>
    </w:p>
    <w:p w:rsidR="00D515E1" w:rsidRDefault="00D515E1">
      <w:pPr>
        <w:numPr>
          <w:ilvl w:val="0"/>
          <w:numId w:val="10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全面预算管理系统及管理程序</w:t>
      </w:r>
    </w:p>
    <w:p w:rsidR="00D515E1" w:rsidRDefault="00D515E1">
      <w:pPr>
        <w:numPr>
          <w:ilvl w:val="0"/>
          <w:numId w:val="10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全面预算的编制</w:t>
      </w:r>
    </w:p>
    <w:p w:rsidR="00D515E1" w:rsidRDefault="00D515E1">
      <w:pPr>
        <w:numPr>
          <w:ilvl w:val="0"/>
          <w:numId w:val="10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战略型全面预算</w:t>
      </w:r>
    </w:p>
    <w:p w:rsidR="00D515E1" w:rsidRDefault="00D515E1">
      <w:p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/>
          <w:color w:val="000000"/>
          <w:kern w:val="0"/>
          <w:sz w:val="28"/>
          <w:szCs w:val="28"/>
        </w:rPr>
        <w:t>11)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业绩考核与评价</w:t>
      </w:r>
    </w:p>
    <w:p w:rsidR="00D515E1" w:rsidRDefault="00D515E1">
      <w:pPr>
        <w:numPr>
          <w:ilvl w:val="0"/>
          <w:numId w:val="1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业绩考核与评价系统</w:t>
      </w:r>
    </w:p>
    <w:p w:rsidR="00D515E1" w:rsidRDefault="00D515E1">
      <w:pPr>
        <w:numPr>
          <w:ilvl w:val="0"/>
          <w:numId w:val="1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以企业为主体的业绩考核与评价</w:t>
      </w:r>
    </w:p>
    <w:p w:rsidR="00D515E1" w:rsidRDefault="00D515E1">
      <w:pPr>
        <w:numPr>
          <w:ilvl w:val="0"/>
          <w:numId w:val="1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以责任中心为主体的业绩考核与评价</w:t>
      </w:r>
    </w:p>
    <w:p w:rsidR="00D515E1" w:rsidRDefault="00D515E1">
      <w:pPr>
        <w:numPr>
          <w:ilvl w:val="0"/>
          <w:numId w:val="1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基于</w:t>
      </w:r>
      <w:r>
        <w:rPr>
          <w:rFonts w:ascii="宋体" w:hAnsi="宋体" w:cs="Arial"/>
          <w:color w:val="000000"/>
          <w:kern w:val="0"/>
          <w:sz w:val="28"/>
          <w:szCs w:val="28"/>
        </w:rPr>
        <w:t>EVA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的业绩考核与评价</w:t>
      </w:r>
    </w:p>
    <w:p w:rsidR="00D515E1" w:rsidRDefault="00D515E1">
      <w:pPr>
        <w:numPr>
          <w:ilvl w:val="0"/>
          <w:numId w:val="11"/>
        </w:numPr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基于战略的业绩考核与评价</w:t>
      </w:r>
    </w:p>
    <w:sectPr w:rsidR="00D515E1" w:rsidSect="00EF7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F5E3A"/>
    <w:multiLevelType w:val="singleLevel"/>
    <w:tmpl w:val="577F5E3A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1">
    <w:nsid w:val="577F5E55"/>
    <w:multiLevelType w:val="singleLevel"/>
    <w:tmpl w:val="577F5E55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2">
    <w:nsid w:val="577F5E6F"/>
    <w:multiLevelType w:val="singleLevel"/>
    <w:tmpl w:val="577F5E6F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3">
    <w:nsid w:val="577F5E89"/>
    <w:multiLevelType w:val="singleLevel"/>
    <w:tmpl w:val="577F5E89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4">
    <w:nsid w:val="577F5EAE"/>
    <w:multiLevelType w:val="singleLevel"/>
    <w:tmpl w:val="577F5EAE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5">
    <w:nsid w:val="577F5EC6"/>
    <w:multiLevelType w:val="singleLevel"/>
    <w:tmpl w:val="577F5EC6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6">
    <w:nsid w:val="577F5EDF"/>
    <w:multiLevelType w:val="singleLevel"/>
    <w:tmpl w:val="577F5EDF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7">
    <w:nsid w:val="577F5EF7"/>
    <w:multiLevelType w:val="singleLevel"/>
    <w:tmpl w:val="577F5EF7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8">
    <w:nsid w:val="577F5F0C"/>
    <w:multiLevelType w:val="singleLevel"/>
    <w:tmpl w:val="577F5F0C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9">
    <w:nsid w:val="577F5F35"/>
    <w:multiLevelType w:val="singleLevel"/>
    <w:tmpl w:val="577F5F35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10">
    <w:nsid w:val="577F5F57"/>
    <w:multiLevelType w:val="singleLevel"/>
    <w:tmpl w:val="577F5F57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9A5460"/>
    <w:rsid w:val="00084C16"/>
    <w:rsid w:val="00C660AF"/>
    <w:rsid w:val="00CE3E9A"/>
    <w:rsid w:val="00D515E1"/>
    <w:rsid w:val="00EF7C72"/>
    <w:rsid w:val="09011CE9"/>
    <w:rsid w:val="1B9A5460"/>
    <w:rsid w:val="318F45D4"/>
    <w:rsid w:val="3811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7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102</Words>
  <Characters>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wjq</dc:creator>
  <cp:keywords/>
  <dc:description/>
  <cp:lastModifiedBy>sut</cp:lastModifiedBy>
  <cp:revision>2</cp:revision>
  <dcterms:created xsi:type="dcterms:W3CDTF">2016-07-08T07:03:00Z</dcterms:created>
  <dcterms:modified xsi:type="dcterms:W3CDTF">2017-08-20T04:54:00Z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