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4C3" w:rsidRPr="00241304" w:rsidRDefault="00241304" w:rsidP="006F5FB6">
      <w:pPr>
        <w:adjustRightInd w:val="0"/>
        <w:snapToGrid w:val="0"/>
        <w:spacing w:line="440" w:lineRule="exact"/>
        <w:jc w:val="center"/>
        <w:rPr>
          <w:rFonts w:ascii="黑体" w:eastAsia="黑体" w:hAnsi="黑体" w:cs="宋体"/>
          <w:b/>
          <w:bCs/>
          <w:sz w:val="28"/>
          <w:szCs w:val="28"/>
        </w:rPr>
      </w:pPr>
      <w:r>
        <w:rPr>
          <w:rFonts w:ascii="黑体" w:eastAsia="黑体" w:hAnsi="黑体" w:cs="宋体" w:hint="eastAsia"/>
          <w:b/>
          <w:bCs/>
          <w:sz w:val="28"/>
          <w:szCs w:val="28"/>
        </w:rPr>
        <w:t>大</w:t>
      </w:r>
      <w:r w:rsidR="00332417" w:rsidRPr="00241304">
        <w:rPr>
          <w:rFonts w:ascii="黑体" w:eastAsia="黑体" w:hAnsi="黑体" w:cs="宋体" w:hint="eastAsia"/>
          <w:b/>
          <w:bCs/>
          <w:sz w:val="28"/>
          <w:szCs w:val="28"/>
        </w:rPr>
        <w:t>学生</w:t>
      </w:r>
      <w:r w:rsidR="00C421FF">
        <w:rPr>
          <w:rFonts w:ascii="黑体" w:eastAsia="黑体" w:hAnsi="黑体" w:cs="宋体" w:hint="eastAsia"/>
          <w:b/>
          <w:bCs/>
          <w:sz w:val="28"/>
          <w:szCs w:val="28"/>
        </w:rPr>
        <w:t>综合</w:t>
      </w:r>
      <w:r w:rsidR="00E124C3" w:rsidRPr="00241304">
        <w:rPr>
          <w:rFonts w:ascii="黑体" w:eastAsia="黑体" w:hAnsi="黑体" w:cs="宋体" w:hint="eastAsia"/>
          <w:b/>
          <w:bCs/>
          <w:sz w:val="28"/>
          <w:szCs w:val="28"/>
        </w:rPr>
        <w:t>保险说明</w:t>
      </w:r>
    </w:p>
    <w:p w:rsidR="00E124C3" w:rsidRPr="00241304" w:rsidRDefault="00A17099" w:rsidP="00A17099">
      <w:pPr>
        <w:adjustRightInd w:val="0"/>
        <w:snapToGrid w:val="0"/>
        <w:spacing w:line="440" w:lineRule="exact"/>
        <w:rPr>
          <w:rFonts w:ascii="黑体" w:eastAsia="黑体" w:hAnsi="黑体"/>
        </w:rPr>
      </w:pPr>
      <w:r w:rsidRPr="00241304">
        <w:rPr>
          <w:rFonts w:ascii="黑体" w:eastAsia="黑体" w:hAnsi="黑体" w:cs="宋体" w:hint="eastAsia"/>
        </w:rPr>
        <w:t xml:space="preserve">    </w:t>
      </w:r>
      <w:r w:rsidR="00241304">
        <w:rPr>
          <w:rFonts w:ascii="黑体" w:eastAsia="黑体" w:hAnsi="黑体" w:cs="宋体" w:hint="eastAsia"/>
        </w:rPr>
        <w:t>大</w:t>
      </w:r>
      <w:r w:rsidR="00332417" w:rsidRPr="00241304">
        <w:rPr>
          <w:rFonts w:ascii="黑体" w:eastAsia="黑体" w:hAnsi="黑体" w:cs="宋体" w:hint="eastAsia"/>
        </w:rPr>
        <w:t>学生</w:t>
      </w:r>
      <w:r w:rsidR="00C421FF">
        <w:rPr>
          <w:rFonts w:ascii="黑体" w:eastAsia="黑体" w:hAnsi="黑体" w:cs="宋体" w:hint="eastAsia"/>
        </w:rPr>
        <w:t>综合</w:t>
      </w:r>
      <w:r w:rsidR="00332417" w:rsidRPr="00241304">
        <w:rPr>
          <w:rFonts w:ascii="黑体" w:eastAsia="黑体" w:hAnsi="黑体" w:cs="宋体" w:hint="eastAsia"/>
        </w:rPr>
        <w:t>保险</w:t>
      </w:r>
      <w:r w:rsidR="00E124C3" w:rsidRPr="00241304">
        <w:rPr>
          <w:rFonts w:ascii="黑体" w:eastAsia="黑体" w:hAnsi="黑体" w:cs="宋体" w:hint="eastAsia"/>
        </w:rPr>
        <w:t>是保险公司提供的商业保险，是</w:t>
      </w:r>
      <w:r w:rsidR="00E124C3" w:rsidRPr="00241304">
        <w:rPr>
          <w:rFonts w:ascii="黑体" w:eastAsia="黑体" w:hAnsi="黑体" w:cs="宋体" w:hint="eastAsia"/>
          <w:b/>
          <w:bCs/>
        </w:rPr>
        <w:t>对大学生</w:t>
      </w:r>
      <w:proofErr w:type="gramStart"/>
      <w:r w:rsidR="00D377E6">
        <w:rPr>
          <w:rFonts w:ascii="黑体" w:eastAsia="黑体" w:hAnsi="黑体" w:cs="宋体" w:hint="eastAsia"/>
          <w:b/>
          <w:bCs/>
        </w:rPr>
        <w:t>医</w:t>
      </w:r>
      <w:proofErr w:type="gramEnd"/>
      <w:r w:rsidR="00D377E6">
        <w:rPr>
          <w:rFonts w:ascii="黑体" w:eastAsia="黑体" w:hAnsi="黑体" w:cs="宋体" w:hint="eastAsia"/>
          <w:b/>
          <w:bCs/>
        </w:rPr>
        <w:t>保</w:t>
      </w:r>
      <w:r w:rsidR="00E124C3" w:rsidRPr="00241304">
        <w:rPr>
          <w:rFonts w:ascii="黑体" w:eastAsia="黑体" w:hAnsi="黑体" w:cs="宋体" w:hint="eastAsia"/>
          <w:b/>
          <w:bCs/>
        </w:rPr>
        <w:t>的补充</w:t>
      </w:r>
      <w:r w:rsidR="00E124C3" w:rsidRPr="00241304">
        <w:rPr>
          <w:rFonts w:ascii="黑体" w:eastAsia="黑体" w:hAnsi="黑体" w:cs="宋体" w:hint="eastAsia"/>
        </w:rPr>
        <w:t>（</w:t>
      </w:r>
      <w:r w:rsidR="00E124C3" w:rsidRPr="00241304">
        <w:rPr>
          <w:rFonts w:ascii="黑体" w:eastAsia="黑体" w:hAnsi="黑体" w:cs="宋体" w:hint="eastAsia"/>
          <w:b/>
          <w:bCs/>
        </w:rPr>
        <w:t>大学生</w:t>
      </w:r>
      <w:proofErr w:type="gramStart"/>
      <w:r w:rsidR="00D377E6">
        <w:rPr>
          <w:rFonts w:ascii="黑体" w:eastAsia="黑体" w:hAnsi="黑体" w:cs="宋体" w:hint="eastAsia"/>
          <w:b/>
          <w:bCs/>
        </w:rPr>
        <w:t>医</w:t>
      </w:r>
      <w:proofErr w:type="gramEnd"/>
      <w:r w:rsidR="00D377E6">
        <w:rPr>
          <w:rFonts w:ascii="黑体" w:eastAsia="黑体" w:hAnsi="黑体" w:cs="宋体" w:hint="eastAsia"/>
          <w:b/>
          <w:bCs/>
        </w:rPr>
        <w:t>保</w:t>
      </w:r>
      <w:r w:rsidR="00E124C3" w:rsidRPr="00241304">
        <w:rPr>
          <w:rFonts w:ascii="黑体" w:eastAsia="黑体" w:hAnsi="黑体" w:cs="宋体" w:hint="eastAsia"/>
          <w:b/>
          <w:bCs/>
        </w:rPr>
        <w:t>详见学校缴费须知</w:t>
      </w:r>
      <w:r w:rsidR="00E124C3" w:rsidRPr="00241304">
        <w:rPr>
          <w:rFonts w:ascii="黑体" w:eastAsia="黑体" w:hAnsi="黑体" w:cs="宋体" w:hint="eastAsia"/>
        </w:rPr>
        <w:t>）</w:t>
      </w:r>
      <w:r w:rsidR="00241304" w:rsidRPr="00241304">
        <w:rPr>
          <w:rFonts w:ascii="黑体" w:eastAsia="黑体" w:hAnsi="黑体" w:cs="宋体" w:hint="eastAsia"/>
        </w:rPr>
        <w:t>，对学生住院、符合</w:t>
      </w:r>
      <w:r w:rsidR="00D377E6">
        <w:rPr>
          <w:rFonts w:ascii="黑体" w:eastAsia="黑体" w:hAnsi="黑体" w:cs="宋体" w:hint="eastAsia"/>
        </w:rPr>
        <w:t>大学生</w:t>
      </w:r>
      <w:proofErr w:type="gramStart"/>
      <w:r w:rsidR="00D377E6">
        <w:rPr>
          <w:rFonts w:ascii="黑体" w:eastAsia="黑体" w:hAnsi="黑体" w:cs="宋体" w:hint="eastAsia"/>
        </w:rPr>
        <w:t>医</w:t>
      </w:r>
      <w:proofErr w:type="gramEnd"/>
      <w:r w:rsidR="00D377E6">
        <w:rPr>
          <w:rFonts w:ascii="黑体" w:eastAsia="黑体" w:hAnsi="黑体" w:cs="宋体" w:hint="eastAsia"/>
        </w:rPr>
        <w:t>保</w:t>
      </w:r>
      <w:r w:rsidR="00241304" w:rsidRPr="00241304">
        <w:rPr>
          <w:rFonts w:ascii="黑体" w:eastAsia="黑体" w:hAnsi="黑体" w:cs="宋体" w:hint="eastAsia"/>
        </w:rPr>
        <w:t>的剩余医疗费用给予全额补偿，提高住院补偿水平，显著减轻学生住院医疗负担</w:t>
      </w:r>
      <w:r w:rsidR="00E124C3" w:rsidRPr="00241304">
        <w:rPr>
          <w:rFonts w:ascii="黑体" w:eastAsia="黑体" w:hAnsi="黑体" w:cs="宋体" w:hint="eastAsia"/>
        </w:rPr>
        <w:t>。</w:t>
      </w:r>
      <w:r w:rsidR="00B060CF" w:rsidRPr="00241304">
        <w:rPr>
          <w:rFonts w:ascii="黑体" w:eastAsia="黑体" w:hAnsi="黑体" w:cs="宋体" w:hint="eastAsia"/>
        </w:rPr>
        <w:t>另外</w:t>
      </w:r>
      <w:r w:rsidR="00C421FF">
        <w:rPr>
          <w:rFonts w:ascii="黑体" w:eastAsia="黑体" w:hAnsi="黑体" w:cs="宋体" w:hint="eastAsia"/>
        </w:rPr>
        <w:t>大学生综合</w:t>
      </w:r>
      <w:r w:rsidR="00332417" w:rsidRPr="00241304">
        <w:rPr>
          <w:rFonts w:ascii="黑体" w:eastAsia="黑体" w:hAnsi="黑体" w:cs="宋体" w:hint="eastAsia"/>
        </w:rPr>
        <w:t>保险</w:t>
      </w:r>
      <w:r w:rsidR="00E124C3" w:rsidRPr="00241304">
        <w:rPr>
          <w:rFonts w:ascii="黑体" w:eastAsia="黑体" w:hAnsi="黑体" w:cs="宋体" w:hint="eastAsia"/>
        </w:rPr>
        <w:t>增加了意外伤害、疾病身故</w:t>
      </w:r>
      <w:r w:rsidR="00332417" w:rsidRPr="00241304">
        <w:rPr>
          <w:rFonts w:ascii="黑体" w:eastAsia="黑体" w:hAnsi="黑体" w:cs="宋体" w:hint="eastAsia"/>
        </w:rPr>
        <w:t>、重大疾病补助等</w:t>
      </w:r>
      <w:r w:rsidR="00E124C3" w:rsidRPr="00241304">
        <w:rPr>
          <w:rFonts w:ascii="黑体" w:eastAsia="黑体" w:hAnsi="黑体" w:cs="宋体" w:hint="eastAsia"/>
        </w:rPr>
        <w:t>保险责任，弥补了</w:t>
      </w:r>
      <w:r w:rsidR="00D377E6">
        <w:rPr>
          <w:rFonts w:ascii="黑体" w:eastAsia="黑体" w:hAnsi="黑体" w:cs="宋体" w:hint="eastAsia"/>
        </w:rPr>
        <w:t>大学生</w:t>
      </w:r>
      <w:proofErr w:type="gramStart"/>
      <w:r w:rsidR="00D377E6">
        <w:rPr>
          <w:rFonts w:ascii="黑体" w:eastAsia="黑体" w:hAnsi="黑体" w:cs="宋体" w:hint="eastAsia"/>
        </w:rPr>
        <w:t>医</w:t>
      </w:r>
      <w:proofErr w:type="gramEnd"/>
      <w:r w:rsidR="00D377E6">
        <w:rPr>
          <w:rFonts w:ascii="黑体" w:eastAsia="黑体" w:hAnsi="黑体" w:cs="宋体" w:hint="eastAsia"/>
        </w:rPr>
        <w:t>保</w:t>
      </w:r>
      <w:r w:rsidR="00E124C3" w:rsidRPr="00241304">
        <w:rPr>
          <w:rFonts w:ascii="黑体" w:eastAsia="黑体" w:hAnsi="黑体" w:cs="宋体" w:hint="eastAsia"/>
        </w:rPr>
        <w:t>的空白。学生可在参加杭州市</w:t>
      </w:r>
      <w:r w:rsidR="00D377E6">
        <w:rPr>
          <w:rFonts w:ascii="黑体" w:eastAsia="黑体" w:hAnsi="黑体" w:cs="宋体" w:hint="eastAsia"/>
        </w:rPr>
        <w:t>大学生</w:t>
      </w:r>
      <w:proofErr w:type="gramStart"/>
      <w:r w:rsidR="00D377E6">
        <w:rPr>
          <w:rFonts w:ascii="黑体" w:eastAsia="黑体" w:hAnsi="黑体" w:cs="宋体" w:hint="eastAsia"/>
        </w:rPr>
        <w:t>医</w:t>
      </w:r>
      <w:proofErr w:type="gramEnd"/>
      <w:r w:rsidR="00D377E6">
        <w:rPr>
          <w:rFonts w:ascii="黑体" w:eastAsia="黑体" w:hAnsi="黑体" w:cs="宋体" w:hint="eastAsia"/>
        </w:rPr>
        <w:t>保</w:t>
      </w:r>
      <w:r w:rsidR="00E124C3" w:rsidRPr="00241304">
        <w:rPr>
          <w:rFonts w:ascii="黑体" w:eastAsia="黑体" w:hAnsi="黑体" w:cs="宋体" w:hint="eastAsia"/>
        </w:rPr>
        <w:t>的基础上，投保此险。</w:t>
      </w:r>
      <w:r w:rsidR="00E124C3" w:rsidRPr="00241304">
        <w:rPr>
          <w:rFonts w:ascii="黑体" w:eastAsia="黑体" w:hAnsi="黑体" w:cs="宋体"/>
        </w:rPr>
        <w:t xml:space="preserve">                               </w:t>
      </w:r>
    </w:p>
    <w:p w:rsidR="00E124C3" w:rsidRPr="00241304" w:rsidRDefault="00E124C3" w:rsidP="0025635D">
      <w:pPr>
        <w:numPr>
          <w:ilvl w:val="0"/>
          <w:numId w:val="1"/>
        </w:numPr>
        <w:spacing w:line="360" w:lineRule="auto"/>
        <w:rPr>
          <w:rFonts w:ascii="黑体" w:eastAsia="黑体" w:hAnsi="黑体"/>
          <w:b/>
          <w:bCs/>
        </w:rPr>
      </w:pPr>
      <w:r w:rsidRPr="00241304">
        <w:rPr>
          <w:rFonts w:ascii="黑体" w:eastAsia="黑体" w:hAnsi="黑体" w:cs="黑体" w:hint="eastAsia"/>
          <w:b/>
          <w:bCs/>
        </w:rPr>
        <w:t>缴费标准</w:t>
      </w:r>
    </w:p>
    <w:p w:rsidR="00E124C3" w:rsidRPr="001A397F" w:rsidRDefault="00DA53A7" w:rsidP="008C36D6">
      <w:pPr>
        <w:ind w:firstLineChars="200" w:firstLine="420"/>
        <w:rPr>
          <w:rFonts w:ascii="黑体" w:eastAsia="黑体" w:hAnsi="黑体"/>
        </w:rPr>
      </w:pPr>
      <w:r w:rsidRPr="00241304">
        <w:rPr>
          <w:rFonts w:ascii="黑体" w:eastAsia="黑体" w:hAnsi="黑体" w:cs="宋体" w:hint="eastAsia"/>
        </w:rPr>
        <w:t>经学校统一招标，确定</w:t>
      </w:r>
      <w:r w:rsidR="00E124C3" w:rsidRPr="00241304">
        <w:rPr>
          <w:rFonts w:ascii="黑体" w:eastAsia="黑体" w:hAnsi="黑体" w:cs="宋体" w:hint="eastAsia"/>
        </w:rPr>
        <w:t>学生每人每年</w:t>
      </w:r>
      <w:r w:rsidR="00332417" w:rsidRPr="00241304">
        <w:rPr>
          <w:rFonts w:ascii="黑体" w:eastAsia="黑体" w:hAnsi="黑体" w:hint="eastAsia"/>
        </w:rPr>
        <w:t>50</w:t>
      </w:r>
      <w:r w:rsidR="00E124C3" w:rsidRPr="00241304">
        <w:rPr>
          <w:rFonts w:ascii="黑体" w:eastAsia="黑体" w:hAnsi="黑体" w:cs="宋体" w:hint="eastAsia"/>
        </w:rPr>
        <w:t>元，按学制年一次性缴清。</w:t>
      </w:r>
      <w:r w:rsidR="001A397F" w:rsidRPr="001A397F">
        <w:rPr>
          <w:rFonts w:ascii="黑体" w:eastAsia="黑体" w:hAnsi="黑体" w:cs="宋体" w:hint="eastAsia"/>
          <w:bCs/>
        </w:rPr>
        <w:t>学制年2年的收费100元，学制年3年的收费150元，学制年4年的收费200元，以此类推。</w:t>
      </w:r>
    </w:p>
    <w:p w:rsidR="00E124C3" w:rsidRPr="00241304" w:rsidRDefault="001A397F" w:rsidP="008C0BCB">
      <w:pPr>
        <w:numPr>
          <w:ilvl w:val="0"/>
          <w:numId w:val="1"/>
        </w:numPr>
        <w:spacing w:line="360" w:lineRule="auto"/>
        <w:rPr>
          <w:rFonts w:ascii="黑体" w:eastAsia="黑体" w:hAnsi="黑体"/>
          <w:b/>
          <w:bCs/>
        </w:rPr>
      </w:pPr>
      <w:r>
        <w:rPr>
          <w:rFonts w:ascii="黑体" w:eastAsia="黑体" w:hAnsi="黑体" w:cs="黑体" w:hint="eastAsia"/>
          <w:b/>
          <w:bCs/>
        </w:rPr>
        <w:t>保险方案</w:t>
      </w:r>
    </w:p>
    <w:tbl>
      <w:tblPr>
        <w:tblW w:w="10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003"/>
        <w:gridCol w:w="1134"/>
        <w:gridCol w:w="6520"/>
        <w:gridCol w:w="1843"/>
      </w:tblGrid>
      <w:tr w:rsidR="00F97B5F" w:rsidRPr="00241304" w:rsidTr="000D7BF9">
        <w:trPr>
          <w:trHeight w:val="441"/>
        </w:trPr>
        <w:tc>
          <w:tcPr>
            <w:tcW w:w="1003" w:type="dxa"/>
            <w:vAlign w:val="center"/>
          </w:tcPr>
          <w:p w:rsidR="00F97B5F" w:rsidRPr="00241304" w:rsidRDefault="00F97B5F" w:rsidP="00F97B5F">
            <w:pPr>
              <w:jc w:val="center"/>
              <w:rPr>
                <w:rFonts w:ascii="黑体" w:eastAsia="黑体" w:hAnsi="黑体"/>
                <w:bCs/>
              </w:rPr>
            </w:pPr>
            <w:r w:rsidRPr="00241304">
              <w:rPr>
                <w:rFonts w:ascii="黑体" w:eastAsia="黑体" w:hAnsi="黑体" w:hint="eastAsia"/>
                <w:bCs/>
              </w:rPr>
              <w:t>保险责任</w:t>
            </w:r>
          </w:p>
        </w:tc>
        <w:tc>
          <w:tcPr>
            <w:tcW w:w="1134" w:type="dxa"/>
            <w:vAlign w:val="center"/>
          </w:tcPr>
          <w:p w:rsidR="00F97B5F" w:rsidRPr="00241304" w:rsidRDefault="00F97B5F" w:rsidP="00F97B5F">
            <w:pPr>
              <w:jc w:val="center"/>
              <w:rPr>
                <w:rFonts w:ascii="黑体" w:eastAsia="黑体" w:hAnsi="黑体"/>
                <w:bCs/>
              </w:rPr>
            </w:pPr>
            <w:r w:rsidRPr="00241304">
              <w:rPr>
                <w:rFonts w:ascii="黑体" w:eastAsia="黑体" w:hAnsi="黑体" w:hint="eastAsia"/>
                <w:bCs/>
              </w:rPr>
              <w:t>保额</w:t>
            </w:r>
          </w:p>
        </w:tc>
        <w:tc>
          <w:tcPr>
            <w:tcW w:w="6520" w:type="dxa"/>
            <w:vAlign w:val="center"/>
          </w:tcPr>
          <w:p w:rsidR="00F97B5F" w:rsidRPr="00241304" w:rsidRDefault="00EB4938" w:rsidP="00F97B5F">
            <w:pPr>
              <w:jc w:val="center"/>
              <w:rPr>
                <w:rFonts w:ascii="黑体" w:eastAsia="黑体" w:hAnsi="黑体"/>
                <w:bCs/>
              </w:rPr>
            </w:pPr>
            <w:r w:rsidRPr="00241304">
              <w:rPr>
                <w:rFonts w:ascii="黑体" w:eastAsia="黑体" w:hAnsi="黑体" w:hint="eastAsia"/>
                <w:bCs/>
              </w:rPr>
              <w:t>保险责任简要说明</w:t>
            </w:r>
          </w:p>
        </w:tc>
        <w:tc>
          <w:tcPr>
            <w:tcW w:w="1843" w:type="dxa"/>
            <w:vAlign w:val="center"/>
          </w:tcPr>
          <w:p w:rsidR="00F97B5F" w:rsidRPr="00241304" w:rsidRDefault="00F97B5F" w:rsidP="00F97B5F">
            <w:pPr>
              <w:jc w:val="center"/>
              <w:rPr>
                <w:rFonts w:ascii="黑体" w:eastAsia="黑体" w:hAnsi="黑体"/>
                <w:bCs/>
              </w:rPr>
            </w:pPr>
            <w:r w:rsidRPr="00241304">
              <w:rPr>
                <w:rFonts w:ascii="黑体" w:eastAsia="黑体" w:hAnsi="黑体" w:hint="eastAsia"/>
                <w:bCs/>
              </w:rPr>
              <w:t>对应条款名称</w:t>
            </w:r>
          </w:p>
        </w:tc>
      </w:tr>
      <w:tr w:rsidR="00F97B5F" w:rsidRPr="00241304" w:rsidTr="000D7BF9">
        <w:trPr>
          <w:trHeight w:val="295"/>
        </w:trPr>
        <w:tc>
          <w:tcPr>
            <w:tcW w:w="1003" w:type="dxa"/>
            <w:vAlign w:val="center"/>
          </w:tcPr>
          <w:p w:rsidR="00F97B5F" w:rsidRPr="00241304" w:rsidRDefault="00F97B5F" w:rsidP="00187C93">
            <w:pPr>
              <w:jc w:val="center"/>
              <w:rPr>
                <w:rFonts w:ascii="黑体" w:eastAsia="黑体" w:hAnsi="黑体"/>
              </w:rPr>
            </w:pPr>
            <w:r w:rsidRPr="00241304">
              <w:rPr>
                <w:rFonts w:ascii="黑体" w:eastAsia="黑体" w:hAnsi="黑体" w:hint="eastAsia"/>
              </w:rPr>
              <w:t>意外伤害身故/残疾</w:t>
            </w:r>
          </w:p>
        </w:tc>
        <w:tc>
          <w:tcPr>
            <w:tcW w:w="1134" w:type="dxa"/>
            <w:vAlign w:val="center"/>
          </w:tcPr>
          <w:p w:rsidR="00F97B5F" w:rsidRPr="00241304" w:rsidRDefault="00EB4938" w:rsidP="00EB4938">
            <w:pPr>
              <w:jc w:val="center"/>
              <w:rPr>
                <w:rFonts w:ascii="黑体" w:eastAsia="黑体" w:hAnsi="黑体"/>
              </w:rPr>
            </w:pPr>
            <w:r w:rsidRPr="00241304">
              <w:rPr>
                <w:rFonts w:ascii="黑体" w:eastAsia="黑体" w:hAnsi="黑体" w:hint="eastAsia"/>
              </w:rPr>
              <w:t>30万(校内）20万(校外）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:rsidR="00F97B5F" w:rsidRPr="00241304" w:rsidRDefault="00F97B5F" w:rsidP="00187C93">
            <w:pPr>
              <w:rPr>
                <w:rFonts w:ascii="黑体" w:eastAsia="黑体" w:hAnsi="黑体"/>
              </w:rPr>
            </w:pPr>
            <w:r w:rsidRPr="00241304">
              <w:rPr>
                <w:rFonts w:ascii="黑体" w:eastAsia="黑体" w:hAnsi="黑体" w:hint="eastAsia"/>
              </w:rPr>
              <w:t>除条款列明的除外责任，被保险人因意外伤害造成身故全额赔付，造成残疾按残疾等级赔付</w:t>
            </w:r>
          </w:p>
        </w:tc>
        <w:tc>
          <w:tcPr>
            <w:tcW w:w="1843" w:type="dxa"/>
            <w:vAlign w:val="center"/>
          </w:tcPr>
          <w:p w:rsidR="00F97B5F" w:rsidRPr="00241304" w:rsidRDefault="00F97B5F" w:rsidP="00187C93">
            <w:pPr>
              <w:jc w:val="center"/>
              <w:rPr>
                <w:rFonts w:ascii="黑体" w:eastAsia="黑体" w:hAnsi="黑体"/>
              </w:rPr>
            </w:pPr>
            <w:r w:rsidRPr="00241304">
              <w:rPr>
                <w:rFonts w:ascii="黑体" w:eastAsia="黑体" w:hAnsi="黑体" w:hint="eastAsia"/>
              </w:rPr>
              <w:t>学生、幼儿意外伤害保险条款</w:t>
            </w:r>
          </w:p>
        </w:tc>
      </w:tr>
      <w:tr w:rsidR="00F97B5F" w:rsidRPr="00241304" w:rsidTr="000D7BF9">
        <w:trPr>
          <w:trHeight w:val="620"/>
        </w:trPr>
        <w:tc>
          <w:tcPr>
            <w:tcW w:w="1003" w:type="dxa"/>
            <w:vAlign w:val="center"/>
          </w:tcPr>
          <w:p w:rsidR="00F97B5F" w:rsidRPr="00241304" w:rsidRDefault="00F97B5F" w:rsidP="00187C93">
            <w:pPr>
              <w:jc w:val="center"/>
              <w:rPr>
                <w:rFonts w:ascii="黑体" w:eastAsia="黑体" w:hAnsi="黑体"/>
              </w:rPr>
            </w:pPr>
            <w:r w:rsidRPr="00241304">
              <w:rPr>
                <w:rFonts w:ascii="黑体" w:eastAsia="黑体" w:hAnsi="黑体" w:hint="eastAsia"/>
              </w:rPr>
              <w:t>疾病身故/全残</w:t>
            </w:r>
          </w:p>
        </w:tc>
        <w:tc>
          <w:tcPr>
            <w:tcW w:w="1134" w:type="dxa"/>
            <w:vAlign w:val="center"/>
          </w:tcPr>
          <w:p w:rsidR="00F97B5F" w:rsidRPr="00241304" w:rsidRDefault="00EB4938" w:rsidP="00EB4938">
            <w:pPr>
              <w:jc w:val="center"/>
              <w:rPr>
                <w:rFonts w:ascii="黑体" w:eastAsia="黑体" w:hAnsi="黑体"/>
              </w:rPr>
            </w:pPr>
            <w:r w:rsidRPr="00241304">
              <w:rPr>
                <w:rFonts w:ascii="黑体" w:eastAsia="黑体" w:hAnsi="黑体" w:hint="eastAsia"/>
              </w:rPr>
              <w:t>15万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:rsidR="00F97B5F" w:rsidRPr="00241304" w:rsidRDefault="00F97B5F" w:rsidP="00187C93">
            <w:pPr>
              <w:rPr>
                <w:rFonts w:ascii="黑体" w:eastAsia="黑体" w:hAnsi="黑体"/>
              </w:rPr>
            </w:pPr>
            <w:r w:rsidRPr="00241304">
              <w:rPr>
                <w:rFonts w:ascii="黑体" w:eastAsia="黑体" w:hAnsi="黑体" w:hint="eastAsia"/>
              </w:rPr>
              <w:t>除条款列明的除外责任，被保险人在保险期间罹患疾病，</w:t>
            </w:r>
            <w:r w:rsidRPr="00241304">
              <w:rPr>
                <w:rFonts w:ascii="黑体" w:eastAsia="黑体" w:hAnsi="黑体" w:cs="仿宋_GB2312" w:hint="eastAsia"/>
              </w:rPr>
              <w:t>因该疾病身故，或因该疾病导致全残</w:t>
            </w:r>
          </w:p>
        </w:tc>
        <w:tc>
          <w:tcPr>
            <w:tcW w:w="1843" w:type="dxa"/>
            <w:vAlign w:val="center"/>
          </w:tcPr>
          <w:p w:rsidR="00F97B5F" w:rsidRPr="00241304" w:rsidRDefault="00F97B5F" w:rsidP="00187C93">
            <w:pPr>
              <w:jc w:val="center"/>
              <w:rPr>
                <w:rFonts w:ascii="黑体" w:eastAsia="黑体" w:hAnsi="黑体"/>
              </w:rPr>
            </w:pPr>
            <w:r w:rsidRPr="00241304">
              <w:rPr>
                <w:rFonts w:ascii="黑体" w:eastAsia="黑体" w:hAnsi="黑体" w:hint="eastAsia"/>
              </w:rPr>
              <w:t>附加疾病身故全残保险条款</w:t>
            </w:r>
          </w:p>
        </w:tc>
      </w:tr>
      <w:tr w:rsidR="00F97B5F" w:rsidRPr="00241304" w:rsidTr="000D7BF9">
        <w:trPr>
          <w:trHeight w:val="914"/>
        </w:trPr>
        <w:tc>
          <w:tcPr>
            <w:tcW w:w="1003" w:type="dxa"/>
            <w:vAlign w:val="center"/>
          </w:tcPr>
          <w:p w:rsidR="00F97B5F" w:rsidRPr="00241304" w:rsidRDefault="00F97B5F" w:rsidP="00187C93">
            <w:pPr>
              <w:jc w:val="center"/>
              <w:rPr>
                <w:rFonts w:ascii="黑体" w:eastAsia="黑体" w:hAnsi="黑体"/>
              </w:rPr>
            </w:pPr>
            <w:r w:rsidRPr="00241304">
              <w:rPr>
                <w:rFonts w:ascii="黑体" w:eastAsia="黑体" w:hAnsi="黑体" w:hint="eastAsia"/>
              </w:rPr>
              <w:t>意外伤害门诊医疗</w:t>
            </w:r>
          </w:p>
        </w:tc>
        <w:tc>
          <w:tcPr>
            <w:tcW w:w="1134" w:type="dxa"/>
            <w:vAlign w:val="center"/>
          </w:tcPr>
          <w:p w:rsidR="00F97B5F" w:rsidRPr="00241304" w:rsidRDefault="00EB4938" w:rsidP="00EB4938">
            <w:pPr>
              <w:jc w:val="center"/>
              <w:rPr>
                <w:rFonts w:ascii="黑体" w:eastAsia="黑体" w:hAnsi="黑体"/>
              </w:rPr>
            </w:pPr>
            <w:r w:rsidRPr="00241304">
              <w:rPr>
                <w:rFonts w:ascii="黑体" w:eastAsia="黑体" w:hAnsi="黑体" w:hint="eastAsia"/>
              </w:rPr>
              <w:t>40万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:rsidR="00F97B5F" w:rsidRPr="00241304" w:rsidRDefault="00F97B5F" w:rsidP="00187C93">
            <w:pPr>
              <w:rPr>
                <w:rFonts w:ascii="黑体" w:eastAsia="黑体" w:hAnsi="黑体"/>
              </w:rPr>
            </w:pPr>
            <w:r w:rsidRPr="00241304">
              <w:rPr>
                <w:rFonts w:ascii="黑体" w:eastAsia="黑体" w:hAnsi="黑体" w:hint="eastAsia"/>
              </w:rPr>
              <w:t>除条款列明的除外责任，</w:t>
            </w:r>
            <w:r w:rsidRPr="00241304">
              <w:rPr>
                <w:rFonts w:ascii="黑体" w:eastAsia="黑体" w:hAnsi="黑体" w:hint="eastAsia"/>
                <w:color w:val="000000"/>
                <w:shd w:val="clear" w:color="auto" w:fill="FFFFFF"/>
              </w:rPr>
              <w:t>对于被保险人因每次意外伤害所支出的必要且合理的、符合基本医疗保险报销范围的医疗费用，保险人在扣除社会基本医疗保险或任何第三方（包括任何商业医疗保险）已经补偿或给付部分后，对其余额全额补足。</w:t>
            </w:r>
          </w:p>
        </w:tc>
        <w:tc>
          <w:tcPr>
            <w:tcW w:w="1843" w:type="dxa"/>
            <w:vAlign w:val="center"/>
          </w:tcPr>
          <w:p w:rsidR="00F97B5F" w:rsidRPr="00241304" w:rsidRDefault="00F97B5F" w:rsidP="00187C93">
            <w:pPr>
              <w:jc w:val="center"/>
              <w:rPr>
                <w:rFonts w:ascii="黑体" w:eastAsia="黑体" w:hAnsi="黑体"/>
              </w:rPr>
            </w:pPr>
            <w:r w:rsidRPr="00241304">
              <w:rPr>
                <w:rFonts w:ascii="黑体" w:eastAsia="黑体" w:hAnsi="黑体" w:hint="eastAsia"/>
              </w:rPr>
              <w:t>附加学生、幼儿意外伤害门诊急诊医疗保险条款</w:t>
            </w:r>
          </w:p>
        </w:tc>
      </w:tr>
      <w:tr w:rsidR="00F97B5F" w:rsidRPr="00241304" w:rsidTr="000D7BF9">
        <w:trPr>
          <w:trHeight w:val="2027"/>
        </w:trPr>
        <w:tc>
          <w:tcPr>
            <w:tcW w:w="1003" w:type="dxa"/>
            <w:vAlign w:val="center"/>
          </w:tcPr>
          <w:p w:rsidR="00F97B5F" w:rsidRPr="00241304" w:rsidRDefault="00F97B5F" w:rsidP="00187C93">
            <w:pPr>
              <w:jc w:val="center"/>
              <w:rPr>
                <w:rFonts w:ascii="黑体" w:eastAsia="黑体" w:hAnsi="黑体"/>
              </w:rPr>
            </w:pPr>
            <w:r w:rsidRPr="00241304">
              <w:rPr>
                <w:rFonts w:ascii="黑体" w:eastAsia="黑体" w:hAnsi="黑体" w:hint="eastAsia"/>
              </w:rPr>
              <w:t>住院医疗</w:t>
            </w:r>
          </w:p>
        </w:tc>
        <w:tc>
          <w:tcPr>
            <w:tcW w:w="1134" w:type="dxa"/>
            <w:vAlign w:val="center"/>
          </w:tcPr>
          <w:p w:rsidR="00F97B5F" w:rsidRPr="00241304" w:rsidRDefault="00EB4938" w:rsidP="00EB4938">
            <w:pPr>
              <w:jc w:val="center"/>
              <w:rPr>
                <w:rFonts w:ascii="黑体" w:eastAsia="黑体" w:hAnsi="黑体"/>
              </w:rPr>
            </w:pPr>
            <w:r w:rsidRPr="00241304">
              <w:rPr>
                <w:rFonts w:ascii="黑体" w:eastAsia="黑体" w:hAnsi="黑体" w:hint="eastAsia"/>
              </w:rPr>
              <w:t>60万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:rsidR="00F97B5F" w:rsidRPr="00241304" w:rsidRDefault="00F97B5F" w:rsidP="00187C93">
            <w:pPr>
              <w:rPr>
                <w:rFonts w:ascii="黑体" w:eastAsia="黑体" w:hAnsi="黑体"/>
              </w:rPr>
            </w:pPr>
            <w:r w:rsidRPr="00241304">
              <w:rPr>
                <w:rFonts w:ascii="黑体" w:eastAsia="黑体" w:hAnsi="黑体" w:hint="eastAsia"/>
              </w:rPr>
              <w:t>除条款列明的除外责任，疾病住院和意外住院时，已参加</w:t>
            </w:r>
            <w:proofErr w:type="gramStart"/>
            <w:r w:rsidRPr="00241304">
              <w:rPr>
                <w:rFonts w:ascii="黑体" w:eastAsia="黑体" w:hAnsi="黑体" w:hint="eastAsia"/>
              </w:rPr>
              <w:t>医</w:t>
            </w:r>
            <w:proofErr w:type="gramEnd"/>
            <w:r w:rsidRPr="00241304">
              <w:rPr>
                <w:rFonts w:ascii="黑体" w:eastAsia="黑体" w:hAnsi="黑体" w:hint="eastAsia"/>
              </w:rPr>
              <w:t>保的被保险人在符合</w:t>
            </w:r>
            <w:proofErr w:type="gramStart"/>
            <w:r w:rsidRPr="00241304">
              <w:rPr>
                <w:rFonts w:ascii="黑体" w:eastAsia="黑体" w:hAnsi="黑体" w:hint="eastAsia"/>
              </w:rPr>
              <w:t>医</w:t>
            </w:r>
            <w:proofErr w:type="gramEnd"/>
            <w:r w:rsidRPr="00241304">
              <w:rPr>
                <w:rFonts w:ascii="黑体" w:eastAsia="黑体" w:hAnsi="黑体" w:hint="eastAsia"/>
              </w:rPr>
              <w:t>保规定范围内</w:t>
            </w:r>
            <w:proofErr w:type="gramStart"/>
            <w:r w:rsidRPr="00241304">
              <w:rPr>
                <w:rFonts w:ascii="黑体" w:eastAsia="黑体" w:hAnsi="黑体" w:hint="eastAsia"/>
              </w:rPr>
              <w:t>医</w:t>
            </w:r>
            <w:proofErr w:type="gramEnd"/>
            <w:r w:rsidRPr="00241304">
              <w:rPr>
                <w:rFonts w:ascii="黑体" w:eastAsia="黑体" w:hAnsi="黑体" w:hint="eastAsia"/>
              </w:rPr>
              <w:t>保统筹赔付后剩余部分全额补足。</w:t>
            </w:r>
          </w:p>
          <w:p w:rsidR="00F97B5F" w:rsidRPr="00241304" w:rsidRDefault="007D5DB3" w:rsidP="00187C93">
            <w:pPr>
              <w:rPr>
                <w:rFonts w:ascii="黑体" w:eastAsia="黑体" w:hAnsi="黑体"/>
              </w:rPr>
            </w:pPr>
            <w:r w:rsidRPr="007D5DB3">
              <w:rPr>
                <w:rFonts w:ascii="黑体" w:eastAsia="黑体" w:hAnsi="黑体" w:hint="eastAsia"/>
              </w:rPr>
              <w:t>本限额仅限有</w:t>
            </w:r>
            <w:proofErr w:type="gramStart"/>
            <w:r w:rsidRPr="007D5DB3">
              <w:rPr>
                <w:rFonts w:ascii="黑体" w:eastAsia="黑体" w:hAnsi="黑体" w:hint="eastAsia"/>
              </w:rPr>
              <w:t>医保且</w:t>
            </w:r>
            <w:proofErr w:type="gramEnd"/>
            <w:r w:rsidRPr="007D5DB3">
              <w:rPr>
                <w:rFonts w:ascii="黑体" w:eastAsia="黑体" w:hAnsi="黑体" w:hint="eastAsia"/>
              </w:rPr>
              <w:t>先通过</w:t>
            </w:r>
            <w:proofErr w:type="gramStart"/>
            <w:r w:rsidRPr="007D5DB3">
              <w:rPr>
                <w:rFonts w:ascii="黑体" w:eastAsia="黑体" w:hAnsi="黑体" w:hint="eastAsia"/>
              </w:rPr>
              <w:t>医</w:t>
            </w:r>
            <w:proofErr w:type="gramEnd"/>
            <w:r w:rsidRPr="007D5DB3">
              <w:rPr>
                <w:rFonts w:ascii="黑体" w:eastAsia="黑体" w:hAnsi="黑体" w:hint="eastAsia"/>
              </w:rPr>
              <w:t>保结算的学生</w:t>
            </w:r>
            <w:r w:rsidR="00B378A3">
              <w:rPr>
                <w:rFonts w:ascii="黑体" w:eastAsia="黑体" w:hAnsi="黑体" w:hint="eastAsia"/>
              </w:rPr>
              <w:t>。</w:t>
            </w:r>
            <w:r w:rsidR="00F97B5F" w:rsidRPr="00241304">
              <w:rPr>
                <w:rFonts w:ascii="黑体" w:eastAsia="黑体" w:hAnsi="黑体" w:hint="eastAsia"/>
              </w:rPr>
              <w:t>未参加或未通过</w:t>
            </w:r>
            <w:proofErr w:type="gramStart"/>
            <w:r w:rsidR="00F97B5F" w:rsidRPr="00241304">
              <w:rPr>
                <w:rFonts w:ascii="黑体" w:eastAsia="黑体" w:hAnsi="黑体" w:hint="eastAsia"/>
              </w:rPr>
              <w:t>医</w:t>
            </w:r>
            <w:proofErr w:type="gramEnd"/>
            <w:r w:rsidR="00F97B5F" w:rsidRPr="00241304">
              <w:rPr>
                <w:rFonts w:ascii="黑体" w:eastAsia="黑体" w:hAnsi="黑体" w:hint="eastAsia"/>
              </w:rPr>
              <w:t>保先行报销的被保险人，在符合</w:t>
            </w:r>
            <w:proofErr w:type="gramStart"/>
            <w:r w:rsidR="00F97B5F" w:rsidRPr="00241304">
              <w:rPr>
                <w:rFonts w:ascii="黑体" w:eastAsia="黑体" w:hAnsi="黑体" w:hint="eastAsia"/>
              </w:rPr>
              <w:t>医</w:t>
            </w:r>
            <w:proofErr w:type="gramEnd"/>
            <w:r w:rsidR="00F97B5F" w:rsidRPr="00241304">
              <w:rPr>
                <w:rFonts w:ascii="黑体" w:eastAsia="黑体" w:hAnsi="黑体" w:hint="eastAsia"/>
              </w:rPr>
              <w:t>保规定范围内分级累计比例给付，赔付比例：100元至1000元部分50%；1000元至5000元部分60%；5000元至10000元部分70%；10000元至30000元部分80%；30000元以上部分 90%，最高赔付10万元。</w:t>
            </w:r>
          </w:p>
        </w:tc>
        <w:tc>
          <w:tcPr>
            <w:tcW w:w="1843" w:type="dxa"/>
            <w:vAlign w:val="center"/>
          </w:tcPr>
          <w:p w:rsidR="00F97B5F" w:rsidRPr="00241304" w:rsidRDefault="00F97B5F" w:rsidP="00187C93">
            <w:pPr>
              <w:jc w:val="center"/>
              <w:rPr>
                <w:rFonts w:ascii="黑体" w:eastAsia="黑体" w:hAnsi="黑体"/>
              </w:rPr>
            </w:pPr>
            <w:r w:rsidRPr="00241304">
              <w:rPr>
                <w:rFonts w:ascii="黑体" w:eastAsia="黑体" w:hAnsi="黑体" w:hint="eastAsia"/>
              </w:rPr>
              <w:t>附加学生、幼儿住院医疗保险条款</w:t>
            </w:r>
          </w:p>
        </w:tc>
      </w:tr>
      <w:tr w:rsidR="00F97B5F" w:rsidRPr="00241304" w:rsidTr="000D7BF9">
        <w:trPr>
          <w:trHeight w:val="310"/>
        </w:trPr>
        <w:tc>
          <w:tcPr>
            <w:tcW w:w="1003" w:type="dxa"/>
            <w:vAlign w:val="center"/>
          </w:tcPr>
          <w:p w:rsidR="00F97B5F" w:rsidRPr="00241304" w:rsidRDefault="00F97B5F" w:rsidP="00187C93">
            <w:pPr>
              <w:jc w:val="center"/>
              <w:rPr>
                <w:rFonts w:ascii="黑体" w:eastAsia="黑体" w:hAnsi="黑体"/>
              </w:rPr>
            </w:pPr>
            <w:r w:rsidRPr="00241304">
              <w:rPr>
                <w:rFonts w:ascii="黑体" w:eastAsia="黑体" w:hAnsi="黑体" w:hint="eastAsia"/>
              </w:rPr>
              <w:t>特定病种门诊医疗</w:t>
            </w:r>
          </w:p>
        </w:tc>
        <w:tc>
          <w:tcPr>
            <w:tcW w:w="1134" w:type="dxa"/>
            <w:vAlign w:val="center"/>
          </w:tcPr>
          <w:p w:rsidR="00F97B5F" w:rsidRPr="00241304" w:rsidRDefault="00EB4938" w:rsidP="00EB4938">
            <w:pPr>
              <w:jc w:val="center"/>
              <w:rPr>
                <w:rFonts w:ascii="黑体" w:eastAsia="黑体" w:hAnsi="黑体"/>
              </w:rPr>
            </w:pPr>
            <w:r w:rsidRPr="00241304">
              <w:rPr>
                <w:rFonts w:ascii="黑体" w:eastAsia="黑体" w:hAnsi="黑体" w:hint="eastAsia"/>
              </w:rPr>
              <w:t>30万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:rsidR="00F97B5F" w:rsidRPr="00241304" w:rsidRDefault="00F97B5F" w:rsidP="00187C93">
            <w:pPr>
              <w:rPr>
                <w:rFonts w:ascii="黑体" w:eastAsia="黑体" w:hAnsi="黑体"/>
              </w:rPr>
            </w:pPr>
            <w:r w:rsidRPr="00241304">
              <w:rPr>
                <w:rFonts w:ascii="黑体" w:eastAsia="黑体" w:hAnsi="黑体" w:hint="eastAsia"/>
              </w:rPr>
              <w:t>除条款列明的除外责任，</w:t>
            </w:r>
            <w:r w:rsidRPr="00241304">
              <w:rPr>
                <w:rFonts w:ascii="黑体" w:eastAsia="黑体" w:hAnsi="黑体" w:cs="仿宋_GB2312" w:hint="eastAsia"/>
              </w:rPr>
              <w:t>罹患符合门诊大病范围的疾病，在国内（不包括港、澳、台地区）二级（含）以上医院或保险人认可的医疗机构进行门诊大病治疗的，保险人按</w:t>
            </w:r>
            <w:r w:rsidR="003C6628" w:rsidRPr="00241304">
              <w:rPr>
                <w:rFonts w:ascii="黑体" w:eastAsia="黑体" w:hAnsi="黑体" w:cs="仿宋_GB2312" w:hint="eastAsia"/>
              </w:rPr>
              <w:t>条款</w:t>
            </w:r>
            <w:r w:rsidRPr="00241304">
              <w:rPr>
                <w:rFonts w:ascii="黑体" w:eastAsia="黑体" w:hAnsi="黑体" w:cs="仿宋_GB2312" w:hint="eastAsia"/>
              </w:rPr>
              <w:t>约定给付保险金。</w:t>
            </w:r>
          </w:p>
        </w:tc>
        <w:tc>
          <w:tcPr>
            <w:tcW w:w="1843" w:type="dxa"/>
            <w:vAlign w:val="center"/>
          </w:tcPr>
          <w:p w:rsidR="00F97B5F" w:rsidRPr="00241304" w:rsidRDefault="00F97B5F" w:rsidP="00187C93">
            <w:pPr>
              <w:jc w:val="center"/>
              <w:rPr>
                <w:rFonts w:ascii="黑体" w:eastAsia="黑体" w:hAnsi="黑体"/>
              </w:rPr>
            </w:pPr>
            <w:r w:rsidRPr="00241304">
              <w:rPr>
                <w:rFonts w:ascii="黑体" w:eastAsia="黑体" w:hAnsi="黑体" w:hint="eastAsia"/>
              </w:rPr>
              <w:t>附加学生、幼儿住院医疗保险条款</w:t>
            </w:r>
          </w:p>
        </w:tc>
      </w:tr>
      <w:tr w:rsidR="00F97B5F" w:rsidRPr="00241304" w:rsidTr="000D7BF9">
        <w:trPr>
          <w:trHeight w:val="855"/>
        </w:trPr>
        <w:tc>
          <w:tcPr>
            <w:tcW w:w="1003" w:type="dxa"/>
            <w:vAlign w:val="center"/>
          </w:tcPr>
          <w:p w:rsidR="00F97B5F" w:rsidRPr="00241304" w:rsidRDefault="00F97B5F" w:rsidP="00187C93">
            <w:pPr>
              <w:spacing w:line="340" w:lineRule="exact"/>
              <w:jc w:val="center"/>
              <w:rPr>
                <w:rFonts w:ascii="黑体" w:eastAsia="黑体" w:hAnsi="黑体"/>
              </w:rPr>
            </w:pPr>
            <w:r w:rsidRPr="00241304">
              <w:rPr>
                <w:rFonts w:ascii="黑体" w:eastAsia="黑体" w:hAnsi="黑体" w:hint="eastAsia"/>
              </w:rPr>
              <w:t>意外住院津贴</w:t>
            </w:r>
          </w:p>
        </w:tc>
        <w:tc>
          <w:tcPr>
            <w:tcW w:w="1134" w:type="dxa"/>
            <w:vAlign w:val="center"/>
          </w:tcPr>
          <w:p w:rsidR="00F97B5F" w:rsidRPr="00241304" w:rsidRDefault="00EB4938" w:rsidP="00EB4938">
            <w:pPr>
              <w:spacing w:line="340" w:lineRule="exact"/>
              <w:jc w:val="center"/>
              <w:rPr>
                <w:rFonts w:ascii="黑体" w:eastAsia="黑体" w:hAnsi="黑体"/>
              </w:rPr>
            </w:pPr>
            <w:r w:rsidRPr="00241304">
              <w:rPr>
                <w:rFonts w:ascii="黑体" w:eastAsia="黑体" w:hAnsi="黑体" w:hint="eastAsia"/>
              </w:rPr>
              <w:t>50元/天</w:t>
            </w:r>
          </w:p>
        </w:tc>
        <w:tc>
          <w:tcPr>
            <w:tcW w:w="6520" w:type="dxa"/>
            <w:vAlign w:val="center"/>
          </w:tcPr>
          <w:p w:rsidR="00F97B5F" w:rsidRPr="00241304" w:rsidRDefault="00F97B5F" w:rsidP="00187C93">
            <w:pPr>
              <w:spacing w:line="340" w:lineRule="exact"/>
              <w:rPr>
                <w:rFonts w:ascii="黑体" w:eastAsia="黑体" w:hAnsi="黑体"/>
              </w:rPr>
            </w:pPr>
            <w:r w:rsidRPr="00241304">
              <w:rPr>
                <w:rFonts w:ascii="黑体" w:eastAsia="黑体" w:hAnsi="黑体" w:hint="eastAsia"/>
              </w:rPr>
              <w:t>除条款列明的除外责任，被保险人遭受意外伤害，</w:t>
            </w:r>
            <w:r w:rsidRPr="00241304">
              <w:rPr>
                <w:rFonts w:ascii="黑体" w:eastAsia="黑体" w:hAnsi="黑体" w:cs="仿宋_GB2312" w:hint="eastAsia"/>
              </w:rPr>
              <w:t>在国内（不包括港、澳、台地区）二级（含）以上医院或保险人认可的医疗机构进行住院治疗的，按每次住院的实际住院天数给付住院津贴。</w:t>
            </w:r>
          </w:p>
        </w:tc>
        <w:tc>
          <w:tcPr>
            <w:tcW w:w="1843" w:type="dxa"/>
            <w:vAlign w:val="center"/>
          </w:tcPr>
          <w:p w:rsidR="00F97B5F" w:rsidRPr="00241304" w:rsidRDefault="00F97B5F" w:rsidP="00187C93">
            <w:pPr>
              <w:spacing w:line="340" w:lineRule="exact"/>
              <w:jc w:val="center"/>
              <w:rPr>
                <w:rFonts w:ascii="黑体" w:eastAsia="黑体" w:hAnsi="黑体"/>
              </w:rPr>
            </w:pPr>
            <w:r w:rsidRPr="00241304">
              <w:rPr>
                <w:rFonts w:ascii="黑体" w:eastAsia="黑体" w:hAnsi="黑体" w:hint="eastAsia"/>
              </w:rPr>
              <w:t>附加意外伤害住院津贴保险条款</w:t>
            </w:r>
          </w:p>
        </w:tc>
      </w:tr>
      <w:tr w:rsidR="00F97B5F" w:rsidRPr="00241304" w:rsidTr="000D7BF9">
        <w:trPr>
          <w:trHeight w:val="709"/>
        </w:trPr>
        <w:tc>
          <w:tcPr>
            <w:tcW w:w="1003" w:type="dxa"/>
            <w:vAlign w:val="center"/>
          </w:tcPr>
          <w:p w:rsidR="00F97B5F" w:rsidRPr="00241304" w:rsidRDefault="00F97B5F" w:rsidP="00187C93">
            <w:pPr>
              <w:spacing w:line="340" w:lineRule="exact"/>
              <w:jc w:val="center"/>
              <w:rPr>
                <w:rFonts w:ascii="黑体" w:eastAsia="黑体" w:hAnsi="黑体"/>
              </w:rPr>
            </w:pPr>
            <w:r w:rsidRPr="00241304">
              <w:rPr>
                <w:rFonts w:ascii="黑体" w:eastAsia="黑体" w:hAnsi="黑体" w:hint="eastAsia"/>
              </w:rPr>
              <w:t>重大疾病</w:t>
            </w:r>
          </w:p>
        </w:tc>
        <w:tc>
          <w:tcPr>
            <w:tcW w:w="1134" w:type="dxa"/>
            <w:vAlign w:val="center"/>
          </w:tcPr>
          <w:p w:rsidR="00F97B5F" w:rsidRPr="00241304" w:rsidRDefault="00EB4938" w:rsidP="00EB4938">
            <w:pPr>
              <w:jc w:val="center"/>
              <w:rPr>
                <w:rFonts w:ascii="黑体" w:eastAsia="黑体" w:hAnsi="黑体"/>
              </w:rPr>
            </w:pPr>
            <w:r w:rsidRPr="00241304">
              <w:rPr>
                <w:rFonts w:ascii="黑体" w:eastAsia="黑体" w:hAnsi="黑体" w:hint="eastAsia"/>
              </w:rPr>
              <w:t>3万</w:t>
            </w:r>
          </w:p>
        </w:tc>
        <w:tc>
          <w:tcPr>
            <w:tcW w:w="6520" w:type="dxa"/>
            <w:vAlign w:val="center"/>
          </w:tcPr>
          <w:p w:rsidR="00F97B5F" w:rsidRPr="00241304" w:rsidRDefault="00F97B5F" w:rsidP="00EB4938">
            <w:pPr>
              <w:rPr>
                <w:rFonts w:ascii="黑体" w:eastAsia="黑体" w:hAnsi="黑体"/>
              </w:rPr>
            </w:pPr>
            <w:r w:rsidRPr="00241304">
              <w:rPr>
                <w:rFonts w:ascii="黑体" w:eastAsia="黑体" w:hAnsi="黑体" w:hint="eastAsia"/>
              </w:rPr>
              <w:t>除条款列明的除外责任，罹患条款约定的25种重大疾病，一次性给付保险赔偿金。</w:t>
            </w:r>
          </w:p>
        </w:tc>
        <w:tc>
          <w:tcPr>
            <w:tcW w:w="1843" w:type="dxa"/>
            <w:vAlign w:val="center"/>
          </w:tcPr>
          <w:p w:rsidR="00F97B5F" w:rsidRPr="00241304" w:rsidRDefault="00F97B5F" w:rsidP="00187C93">
            <w:pPr>
              <w:spacing w:line="340" w:lineRule="exact"/>
              <w:jc w:val="center"/>
              <w:rPr>
                <w:rFonts w:ascii="黑体" w:eastAsia="黑体" w:hAnsi="黑体"/>
              </w:rPr>
            </w:pPr>
            <w:r w:rsidRPr="00241304">
              <w:rPr>
                <w:rFonts w:ascii="黑体" w:eastAsia="黑体" w:hAnsi="黑体" w:hint="eastAsia"/>
              </w:rPr>
              <w:t>附加学生、幼儿重大疾病保险条款</w:t>
            </w:r>
          </w:p>
        </w:tc>
      </w:tr>
      <w:tr w:rsidR="00F97B5F" w:rsidRPr="00241304" w:rsidTr="000D7BF9">
        <w:trPr>
          <w:trHeight w:val="1116"/>
        </w:trPr>
        <w:tc>
          <w:tcPr>
            <w:tcW w:w="1003" w:type="dxa"/>
            <w:vAlign w:val="center"/>
          </w:tcPr>
          <w:p w:rsidR="00F97B5F" w:rsidRPr="00241304" w:rsidRDefault="00F97B5F" w:rsidP="00187C93">
            <w:pPr>
              <w:spacing w:line="340" w:lineRule="exact"/>
              <w:jc w:val="center"/>
              <w:rPr>
                <w:rFonts w:ascii="黑体" w:eastAsia="黑体" w:hAnsi="黑体"/>
              </w:rPr>
            </w:pPr>
            <w:r w:rsidRPr="00241304">
              <w:rPr>
                <w:rFonts w:ascii="黑体" w:eastAsia="黑体" w:hAnsi="黑体" w:hint="eastAsia"/>
              </w:rPr>
              <w:t>美容缝合、牙齿修复</w:t>
            </w:r>
          </w:p>
        </w:tc>
        <w:tc>
          <w:tcPr>
            <w:tcW w:w="1134" w:type="dxa"/>
            <w:vAlign w:val="center"/>
          </w:tcPr>
          <w:p w:rsidR="00F97B5F" w:rsidRPr="00241304" w:rsidRDefault="00EB4938" w:rsidP="00EB4938">
            <w:pPr>
              <w:jc w:val="center"/>
              <w:rPr>
                <w:rFonts w:ascii="黑体" w:eastAsia="黑体" w:hAnsi="黑体"/>
              </w:rPr>
            </w:pPr>
            <w:r w:rsidRPr="00241304">
              <w:rPr>
                <w:rFonts w:ascii="黑体" w:eastAsia="黑体" w:hAnsi="黑体" w:hint="eastAsia"/>
              </w:rPr>
              <w:t>1万</w:t>
            </w:r>
          </w:p>
        </w:tc>
        <w:tc>
          <w:tcPr>
            <w:tcW w:w="6520" w:type="dxa"/>
            <w:vAlign w:val="center"/>
          </w:tcPr>
          <w:p w:rsidR="00F97B5F" w:rsidRPr="00241304" w:rsidRDefault="00F97B5F" w:rsidP="00EB4938">
            <w:pPr>
              <w:rPr>
                <w:rFonts w:ascii="黑体" w:eastAsia="黑体" w:hAnsi="黑体"/>
              </w:rPr>
            </w:pPr>
            <w:r w:rsidRPr="00241304">
              <w:rPr>
                <w:rFonts w:ascii="黑体" w:eastAsia="黑体" w:hAnsi="黑体" w:hint="eastAsia"/>
              </w:rPr>
              <w:t>除条款列明的除外责任，因意外事故导致被保险人需要进行美容缝合、牙齿修复治疗 。</w:t>
            </w:r>
            <w:r w:rsidR="00EB4938" w:rsidRPr="00241304">
              <w:rPr>
                <w:rFonts w:ascii="黑体" w:eastAsia="黑体" w:hAnsi="黑体" w:hint="eastAsia"/>
              </w:rPr>
              <w:t>美容缝合每次以2000元为限，牙齿修复治疗每颗</w:t>
            </w:r>
            <w:proofErr w:type="gramStart"/>
            <w:r w:rsidR="00EB4938" w:rsidRPr="00241304">
              <w:rPr>
                <w:rFonts w:ascii="黑体" w:eastAsia="黑体" w:hAnsi="黑体" w:hint="eastAsia"/>
              </w:rPr>
              <w:t>牙最高</w:t>
            </w:r>
            <w:proofErr w:type="gramEnd"/>
            <w:r w:rsidR="00EB4938" w:rsidRPr="00241304">
              <w:rPr>
                <w:rFonts w:ascii="黑体" w:eastAsia="黑体" w:hAnsi="黑体" w:hint="eastAsia"/>
              </w:rPr>
              <w:t>赔付以3000为限。</w:t>
            </w:r>
          </w:p>
        </w:tc>
        <w:tc>
          <w:tcPr>
            <w:tcW w:w="1843" w:type="dxa"/>
            <w:vAlign w:val="center"/>
          </w:tcPr>
          <w:p w:rsidR="00F97B5F" w:rsidRPr="00241304" w:rsidRDefault="00F97B5F" w:rsidP="00187C93">
            <w:pPr>
              <w:spacing w:line="340" w:lineRule="exact"/>
              <w:jc w:val="center"/>
              <w:rPr>
                <w:rFonts w:ascii="黑体" w:eastAsia="黑体" w:hAnsi="黑体"/>
              </w:rPr>
            </w:pPr>
            <w:r w:rsidRPr="00241304">
              <w:rPr>
                <w:rFonts w:ascii="黑体" w:eastAsia="黑体" w:hAnsi="黑体" w:hint="eastAsia"/>
              </w:rPr>
              <w:t>浙江省分公司附加学生、幼儿意外伤害美容缝合、牙齿修复医疗保险条款</w:t>
            </w:r>
          </w:p>
        </w:tc>
      </w:tr>
    </w:tbl>
    <w:p w:rsidR="00E124C3" w:rsidRPr="00241304" w:rsidRDefault="00E124C3" w:rsidP="00602A32">
      <w:pPr>
        <w:numPr>
          <w:ilvl w:val="0"/>
          <w:numId w:val="1"/>
        </w:numPr>
        <w:spacing w:line="360" w:lineRule="auto"/>
        <w:rPr>
          <w:rFonts w:ascii="黑体" w:eastAsia="黑体" w:hAnsi="黑体"/>
          <w:b/>
          <w:bCs/>
        </w:rPr>
      </w:pPr>
      <w:r w:rsidRPr="00241304">
        <w:rPr>
          <w:rFonts w:ascii="黑体" w:eastAsia="黑体" w:hAnsi="黑体" w:cs="黑体" w:hint="eastAsia"/>
          <w:b/>
          <w:bCs/>
        </w:rPr>
        <w:t>保险生效日期</w:t>
      </w:r>
    </w:p>
    <w:p w:rsidR="00E124C3" w:rsidRPr="00241304" w:rsidRDefault="00241304" w:rsidP="008C36D6">
      <w:pPr>
        <w:adjustRightInd w:val="0"/>
        <w:snapToGrid w:val="0"/>
        <w:ind w:firstLineChars="250" w:firstLine="525"/>
        <w:rPr>
          <w:rFonts w:ascii="黑体" w:eastAsia="黑体" w:hAnsi="黑体"/>
        </w:rPr>
      </w:pPr>
      <w:r>
        <w:rPr>
          <w:rFonts w:ascii="黑体" w:eastAsia="黑体" w:hAnsi="黑体" w:cs="宋体" w:hint="eastAsia"/>
        </w:rPr>
        <w:t>首批缴费学生本保险</w:t>
      </w:r>
      <w:r w:rsidR="00B060CF" w:rsidRPr="00241304">
        <w:rPr>
          <w:rFonts w:ascii="黑体" w:eastAsia="黑体" w:hAnsi="黑体" w:cs="宋体" w:hint="eastAsia"/>
        </w:rPr>
        <w:t>统一生效日期为2018年9月1日零时。</w:t>
      </w:r>
    </w:p>
    <w:p w:rsidR="00E124C3" w:rsidRPr="00241304" w:rsidRDefault="00E124C3" w:rsidP="00357F08">
      <w:pPr>
        <w:numPr>
          <w:ilvl w:val="0"/>
          <w:numId w:val="1"/>
        </w:numPr>
        <w:spacing w:line="360" w:lineRule="auto"/>
        <w:rPr>
          <w:rFonts w:ascii="黑体" w:eastAsia="黑体" w:hAnsi="黑体"/>
          <w:b/>
          <w:bCs/>
        </w:rPr>
      </w:pPr>
      <w:r w:rsidRPr="00241304">
        <w:rPr>
          <w:rFonts w:ascii="黑体" w:eastAsia="黑体" w:hAnsi="黑体" w:cs="黑体" w:hint="eastAsia"/>
          <w:b/>
          <w:bCs/>
        </w:rPr>
        <w:t>缴费方式</w:t>
      </w:r>
    </w:p>
    <w:p w:rsidR="00E81231" w:rsidRPr="00241304" w:rsidRDefault="00B750DF" w:rsidP="00504B4D">
      <w:pPr>
        <w:adjustRightInd w:val="0"/>
        <w:snapToGrid w:val="0"/>
        <w:rPr>
          <w:rFonts w:ascii="黑体" w:eastAsia="黑体" w:hAnsi="黑体"/>
        </w:rPr>
      </w:pPr>
      <w:r w:rsidRPr="00241304">
        <w:rPr>
          <w:rFonts w:ascii="黑体" w:eastAsia="黑体" w:hAnsi="黑体" w:cs="宋体" w:hint="eastAsia"/>
        </w:rPr>
        <w:t xml:space="preserve">   </w:t>
      </w:r>
      <w:r w:rsidR="009852A8" w:rsidRPr="00241304">
        <w:rPr>
          <w:rFonts w:ascii="黑体" w:eastAsia="黑体" w:hAnsi="黑体" w:cs="宋体" w:hint="eastAsia"/>
        </w:rPr>
        <w:t xml:space="preserve">  </w:t>
      </w:r>
      <w:r w:rsidR="00B060CF" w:rsidRPr="00241304">
        <w:rPr>
          <w:rFonts w:ascii="黑体" w:eastAsia="黑体" w:hAnsi="黑体" w:cs="宋体" w:hint="eastAsia"/>
        </w:rPr>
        <w:t>到校后收费。</w:t>
      </w:r>
    </w:p>
    <w:p w:rsidR="00E124C3" w:rsidRPr="008C36D6" w:rsidRDefault="00241304" w:rsidP="00ED2847">
      <w:pPr>
        <w:widowControl/>
        <w:rPr>
          <w:rFonts w:ascii="仿宋_GB2312" w:eastAsia="仿宋_GB2312" w:hAnsi="宋体"/>
          <w:b/>
          <w:bCs/>
          <w:kern w:val="0"/>
        </w:rPr>
      </w:pPr>
      <w:r>
        <w:rPr>
          <w:rFonts w:ascii="黑体" w:eastAsia="黑体" w:hAnsi="黑体" w:cs="仿宋_GB2312" w:hint="eastAsia"/>
          <w:b/>
          <w:bCs/>
          <w:kern w:val="0"/>
        </w:rPr>
        <w:t xml:space="preserve">    </w:t>
      </w:r>
      <w:r w:rsidR="00E124C3" w:rsidRPr="00241304">
        <w:rPr>
          <w:rFonts w:ascii="黑体" w:eastAsia="黑体" w:hAnsi="黑体" w:cs="仿宋_GB2312" w:hint="eastAsia"/>
          <w:b/>
          <w:bCs/>
          <w:kern w:val="0"/>
        </w:rPr>
        <w:t>咨询电话：</w:t>
      </w:r>
      <w:r w:rsidR="005A3E8D" w:rsidRPr="00241304">
        <w:rPr>
          <w:rFonts w:ascii="黑体" w:eastAsia="黑体" w:hAnsi="黑体" w:cs="仿宋_GB2312"/>
          <w:b/>
          <w:bCs/>
          <w:kern w:val="0"/>
        </w:rPr>
        <w:t>13073641083</w:t>
      </w:r>
      <w:r w:rsidR="005A3E8D" w:rsidRPr="00241304">
        <w:rPr>
          <w:rFonts w:ascii="黑体" w:eastAsia="黑体" w:hAnsi="黑体" w:cs="仿宋_GB2312" w:hint="eastAsia"/>
          <w:b/>
          <w:bCs/>
          <w:kern w:val="0"/>
        </w:rPr>
        <w:t xml:space="preserve"> （刘） </w:t>
      </w:r>
      <w:r w:rsidR="00E124C3" w:rsidRPr="00241304">
        <w:rPr>
          <w:rFonts w:ascii="黑体" w:eastAsia="黑体" w:hAnsi="黑体" w:cs="仿宋_GB2312"/>
          <w:b/>
          <w:bCs/>
          <w:kern w:val="0"/>
        </w:rPr>
        <w:t xml:space="preserve">    13957196698</w:t>
      </w:r>
      <w:r w:rsidR="005A3E8D" w:rsidRPr="00241304">
        <w:rPr>
          <w:rFonts w:ascii="黑体" w:eastAsia="黑体" w:hAnsi="黑体" w:cs="仿宋_GB2312" w:hint="eastAsia"/>
          <w:b/>
          <w:bCs/>
          <w:kern w:val="0"/>
        </w:rPr>
        <w:t>（吴）</w:t>
      </w:r>
      <w:r w:rsidR="00416641" w:rsidRPr="00241304">
        <w:rPr>
          <w:rFonts w:ascii="黑体" w:eastAsia="黑体" w:hAnsi="黑体" w:cs="仿宋_GB2312" w:hint="eastAsia"/>
          <w:b/>
          <w:bCs/>
          <w:kern w:val="0"/>
        </w:rPr>
        <w:t xml:space="preserve"> </w:t>
      </w:r>
      <w:r w:rsidR="00586395" w:rsidRPr="00241304">
        <w:rPr>
          <w:rFonts w:ascii="黑体" w:eastAsia="黑体" w:hAnsi="黑体" w:cs="仿宋_GB2312" w:hint="eastAsia"/>
          <w:b/>
          <w:bCs/>
          <w:kern w:val="0"/>
        </w:rPr>
        <w:t xml:space="preserve"> </w:t>
      </w:r>
      <w:r w:rsidR="005A3E8D" w:rsidRPr="00241304">
        <w:rPr>
          <w:rFonts w:ascii="黑体" w:eastAsia="黑体" w:hAnsi="黑体" w:cs="仿宋_GB2312" w:hint="eastAsia"/>
          <w:b/>
          <w:bCs/>
          <w:kern w:val="0"/>
        </w:rPr>
        <w:t xml:space="preserve"> </w:t>
      </w:r>
      <w:r w:rsidR="00416641" w:rsidRPr="00241304">
        <w:rPr>
          <w:rFonts w:ascii="黑体" w:eastAsia="黑体" w:hAnsi="黑体" w:cs="仿宋_GB2312" w:hint="eastAsia"/>
          <w:b/>
          <w:bCs/>
          <w:kern w:val="0"/>
        </w:rPr>
        <w:t xml:space="preserve">  </w:t>
      </w:r>
      <w:r w:rsidR="005A3E8D" w:rsidRPr="00241304">
        <w:rPr>
          <w:rFonts w:ascii="黑体" w:eastAsia="黑体" w:hAnsi="黑体" w:cs="仿宋_GB2312"/>
          <w:b/>
          <w:bCs/>
          <w:kern w:val="0"/>
        </w:rPr>
        <w:t>0571-87132630</w:t>
      </w:r>
    </w:p>
    <w:sectPr w:rsidR="00E124C3" w:rsidRPr="008C36D6" w:rsidSect="0034754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EB5" w:rsidRDefault="00765EB5" w:rsidP="002A1ADA">
      <w:r>
        <w:separator/>
      </w:r>
    </w:p>
  </w:endnote>
  <w:endnote w:type="continuationSeparator" w:id="0">
    <w:p w:rsidR="00765EB5" w:rsidRDefault="00765EB5" w:rsidP="002A1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EB5" w:rsidRDefault="00765EB5" w:rsidP="002A1ADA">
      <w:r>
        <w:separator/>
      </w:r>
    </w:p>
  </w:footnote>
  <w:footnote w:type="continuationSeparator" w:id="0">
    <w:p w:rsidR="00765EB5" w:rsidRDefault="00765EB5" w:rsidP="002A1A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16465"/>
    <w:multiLevelType w:val="multilevel"/>
    <w:tmpl w:val="7F844E7A"/>
    <w:lvl w:ilvl="0">
      <w:start w:val="1"/>
      <w:numFmt w:val="bullet"/>
      <w:lvlText w:val=""/>
      <w:lvlJc w:val="left"/>
      <w:pPr>
        <w:ind w:left="1147"/>
      </w:pPr>
      <w:rPr>
        <w:rFonts w:ascii="Wingdings" w:hAnsi="Wingdings" w:hint="default"/>
        <w:b w:val="0"/>
        <w:i w:val="0"/>
        <w:strike w:val="0"/>
        <w:dstrike w:val="0"/>
        <w:color w:val="000000"/>
        <w:sz w:val="21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8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4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u w:val="none" w:color="000000"/>
        <w:shd w:val="clear" w:color="auto" w:fill="auto"/>
        <w:vertAlign w:val="baseline"/>
      </w:rPr>
    </w:lvl>
  </w:abstractNum>
  <w:abstractNum w:abstractNumId="1">
    <w:nsid w:val="2B4D70FB"/>
    <w:multiLevelType w:val="hybridMultilevel"/>
    <w:tmpl w:val="0B4A9762"/>
    <w:lvl w:ilvl="0" w:tplc="FDCAC9E0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800" w:hanging="420"/>
      </w:pPr>
    </w:lvl>
    <w:lvl w:ilvl="2" w:tplc="0409001B">
      <w:start w:val="1"/>
      <w:numFmt w:val="lowerRoman"/>
      <w:lvlText w:val="%3."/>
      <w:lvlJc w:val="righ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9">
      <w:start w:val="1"/>
      <w:numFmt w:val="lowerLetter"/>
      <w:lvlText w:val="%5)"/>
      <w:lvlJc w:val="left"/>
      <w:pPr>
        <w:ind w:left="3060" w:hanging="420"/>
      </w:pPr>
    </w:lvl>
    <w:lvl w:ilvl="5" w:tplc="0409001B">
      <w:start w:val="1"/>
      <w:numFmt w:val="lowerRoman"/>
      <w:lvlText w:val="%6."/>
      <w:lvlJc w:val="righ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9">
      <w:start w:val="1"/>
      <w:numFmt w:val="lowerLetter"/>
      <w:lvlText w:val="%8)"/>
      <w:lvlJc w:val="left"/>
      <w:pPr>
        <w:ind w:left="4320" w:hanging="420"/>
      </w:pPr>
    </w:lvl>
    <w:lvl w:ilvl="8" w:tplc="0409001B">
      <w:start w:val="1"/>
      <w:numFmt w:val="lowerRoman"/>
      <w:lvlText w:val="%9."/>
      <w:lvlJc w:val="right"/>
      <w:pPr>
        <w:ind w:left="4740" w:hanging="420"/>
      </w:pPr>
    </w:lvl>
  </w:abstractNum>
  <w:abstractNum w:abstractNumId="2">
    <w:nsid w:val="7E20566D"/>
    <w:multiLevelType w:val="hybridMultilevel"/>
    <w:tmpl w:val="9F7E3AC4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635D"/>
    <w:rsid w:val="00003F49"/>
    <w:rsid w:val="000138CB"/>
    <w:rsid w:val="000556DC"/>
    <w:rsid w:val="00097263"/>
    <w:rsid w:val="000D7BF9"/>
    <w:rsid w:val="001848C8"/>
    <w:rsid w:val="001A397F"/>
    <w:rsid w:val="00207284"/>
    <w:rsid w:val="00207AA4"/>
    <w:rsid w:val="00241304"/>
    <w:rsid w:val="00250688"/>
    <w:rsid w:val="0025635D"/>
    <w:rsid w:val="002A1ADA"/>
    <w:rsid w:val="002A221E"/>
    <w:rsid w:val="002D57EF"/>
    <w:rsid w:val="00332417"/>
    <w:rsid w:val="00346E26"/>
    <w:rsid w:val="0034754F"/>
    <w:rsid w:val="00357F08"/>
    <w:rsid w:val="003651A2"/>
    <w:rsid w:val="003917B8"/>
    <w:rsid w:val="003A512F"/>
    <w:rsid w:val="003C30DC"/>
    <w:rsid w:val="003C6628"/>
    <w:rsid w:val="003E69CC"/>
    <w:rsid w:val="003F3A16"/>
    <w:rsid w:val="003F6B60"/>
    <w:rsid w:val="0040143D"/>
    <w:rsid w:val="004047FC"/>
    <w:rsid w:val="00416641"/>
    <w:rsid w:val="00426194"/>
    <w:rsid w:val="00472BE9"/>
    <w:rsid w:val="004A1F7B"/>
    <w:rsid w:val="004F7837"/>
    <w:rsid w:val="00504B4D"/>
    <w:rsid w:val="0053453C"/>
    <w:rsid w:val="00540B43"/>
    <w:rsid w:val="00547BFA"/>
    <w:rsid w:val="00571A8C"/>
    <w:rsid w:val="00586395"/>
    <w:rsid w:val="005A3E8D"/>
    <w:rsid w:val="005A5712"/>
    <w:rsid w:val="005B63EC"/>
    <w:rsid w:val="005B768C"/>
    <w:rsid w:val="00602A32"/>
    <w:rsid w:val="00615345"/>
    <w:rsid w:val="00677CBA"/>
    <w:rsid w:val="00684559"/>
    <w:rsid w:val="006B441B"/>
    <w:rsid w:val="006D34C1"/>
    <w:rsid w:val="006D4158"/>
    <w:rsid w:val="006F5FB6"/>
    <w:rsid w:val="00723368"/>
    <w:rsid w:val="00765EB5"/>
    <w:rsid w:val="00786DF2"/>
    <w:rsid w:val="007B3A05"/>
    <w:rsid w:val="007D5DB3"/>
    <w:rsid w:val="007F2BB3"/>
    <w:rsid w:val="00832CF7"/>
    <w:rsid w:val="0085577F"/>
    <w:rsid w:val="0086424D"/>
    <w:rsid w:val="0088470E"/>
    <w:rsid w:val="008876A6"/>
    <w:rsid w:val="008C0BCB"/>
    <w:rsid w:val="008C36D6"/>
    <w:rsid w:val="008E0425"/>
    <w:rsid w:val="008F0AB3"/>
    <w:rsid w:val="008F18C6"/>
    <w:rsid w:val="00901870"/>
    <w:rsid w:val="009207D6"/>
    <w:rsid w:val="00922CCF"/>
    <w:rsid w:val="0094604D"/>
    <w:rsid w:val="009852A8"/>
    <w:rsid w:val="009A692E"/>
    <w:rsid w:val="009C17FA"/>
    <w:rsid w:val="009C1FF1"/>
    <w:rsid w:val="00A17099"/>
    <w:rsid w:val="00A17BCB"/>
    <w:rsid w:val="00A2140B"/>
    <w:rsid w:val="00A6323B"/>
    <w:rsid w:val="00A71A53"/>
    <w:rsid w:val="00A74CB9"/>
    <w:rsid w:val="00AA119D"/>
    <w:rsid w:val="00AD510D"/>
    <w:rsid w:val="00B060CF"/>
    <w:rsid w:val="00B2652D"/>
    <w:rsid w:val="00B33DBD"/>
    <w:rsid w:val="00B378A3"/>
    <w:rsid w:val="00B50161"/>
    <w:rsid w:val="00B750DF"/>
    <w:rsid w:val="00BB0DC3"/>
    <w:rsid w:val="00BC539A"/>
    <w:rsid w:val="00C15B8E"/>
    <w:rsid w:val="00C404CE"/>
    <w:rsid w:val="00C40D9E"/>
    <w:rsid w:val="00C41C55"/>
    <w:rsid w:val="00C421FF"/>
    <w:rsid w:val="00C81C03"/>
    <w:rsid w:val="00CB149E"/>
    <w:rsid w:val="00D03EAA"/>
    <w:rsid w:val="00D30EDC"/>
    <w:rsid w:val="00D377E6"/>
    <w:rsid w:val="00D9153C"/>
    <w:rsid w:val="00DA53A7"/>
    <w:rsid w:val="00DB152A"/>
    <w:rsid w:val="00DD084A"/>
    <w:rsid w:val="00DE4CE0"/>
    <w:rsid w:val="00E10102"/>
    <w:rsid w:val="00E124C3"/>
    <w:rsid w:val="00E40620"/>
    <w:rsid w:val="00E45AA8"/>
    <w:rsid w:val="00E534C4"/>
    <w:rsid w:val="00E54059"/>
    <w:rsid w:val="00E555DA"/>
    <w:rsid w:val="00E80DC2"/>
    <w:rsid w:val="00E81231"/>
    <w:rsid w:val="00E902A7"/>
    <w:rsid w:val="00EB4938"/>
    <w:rsid w:val="00ED2847"/>
    <w:rsid w:val="00EE60D9"/>
    <w:rsid w:val="00EE7F7C"/>
    <w:rsid w:val="00EF6BB5"/>
    <w:rsid w:val="00F36154"/>
    <w:rsid w:val="00F557D5"/>
    <w:rsid w:val="00F80B08"/>
    <w:rsid w:val="00F87EF4"/>
    <w:rsid w:val="00F97B5F"/>
    <w:rsid w:val="00FF7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35D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F7837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rsid w:val="008F0AB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locked/>
    <w:rsid w:val="008F0AB3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2A1A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A1ADA"/>
    <w:rPr>
      <w:rFonts w:ascii="Times New Roman" w:hAnsi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A1A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A1ADA"/>
    <w:rPr>
      <w:rFonts w:ascii="Times New Roman" w:hAnsi="Times New Roman"/>
      <w:sz w:val="18"/>
      <w:szCs w:val="18"/>
    </w:rPr>
  </w:style>
  <w:style w:type="table" w:styleId="a7">
    <w:name w:val="Table Grid"/>
    <w:basedOn w:val="a1"/>
    <w:locked/>
    <w:rsid w:val="00F97B5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206</Words>
  <Characters>1179</Characters>
  <Application>Microsoft Office Word</Application>
  <DocSecurity>0</DocSecurity>
  <Lines>9</Lines>
  <Paragraphs>2</Paragraphs>
  <ScaleCrop>false</ScaleCrop>
  <Company>微软中国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wujunjie03</dc:creator>
  <cp:keywords/>
  <dc:description/>
  <cp:lastModifiedBy>zhuff</cp:lastModifiedBy>
  <cp:revision>198</cp:revision>
  <cp:lastPrinted>2017-05-27T09:06:00Z</cp:lastPrinted>
  <dcterms:created xsi:type="dcterms:W3CDTF">2016-05-19T10:07:00Z</dcterms:created>
  <dcterms:modified xsi:type="dcterms:W3CDTF">2018-07-05T01:53:00Z</dcterms:modified>
</cp:coreProperties>
</file>