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jc w:val="center"/>
        <w:rPr>
          <w:rFonts w:hint="eastAsia" w:cs="宋体" w:asciiTheme="minorEastAsia" w:hAnsiTheme="minorEastAsia"/>
          <w:b/>
          <w:bCs/>
          <w:color w:val="000000"/>
          <w:kern w:val="0"/>
          <w:sz w:val="24"/>
          <w:szCs w:val="24"/>
        </w:rPr>
      </w:pPr>
      <w:r>
        <w:rPr>
          <w:rFonts w:cs="Times New Roman" w:asciiTheme="minorEastAsia" w:hAnsiTheme="minorEastAsia"/>
          <w:b/>
          <w:bCs/>
          <w:color w:val="000000"/>
          <w:kern w:val="0"/>
          <w:sz w:val="24"/>
          <w:szCs w:val="24"/>
        </w:rPr>
        <w:t>201</w:t>
      </w:r>
      <w:r>
        <w:rPr>
          <w:rFonts w:hint="eastAsia" w:cs="Times New Roman" w:asciiTheme="minorEastAsia" w:hAnsiTheme="minorEastAsia"/>
          <w:b/>
          <w:bCs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b/>
          <w:bCs/>
          <w:color w:val="000000"/>
          <w:kern w:val="0"/>
          <w:sz w:val="24"/>
          <w:szCs w:val="24"/>
        </w:rPr>
        <w:t>年硕士研究生入学考试</w:t>
      </w:r>
    </w:p>
    <w:p>
      <w:pPr>
        <w:widowControl/>
        <w:shd w:val="clear" w:color="auto" w:fill="FFFFFF"/>
        <w:spacing w:line="400" w:lineRule="exact"/>
        <w:jc w:val="center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 w:val="24"/>
          <w:szCs w:val="24"/>
        </w:rPr>
        <w:t>考试大纲</w:t>
      </w:r>
    </w:p>
    <w:tbl>
      <w:tblPr>
        <w:tblStyle w:val="5"/>
        <w:tblW w:w="8516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82"/>
        <w:gridCol w:w="5334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考试科目代码：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814</w:t>
            </w: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考试科目名称：民法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一、考试要求：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本科目考试包括民法的全部内容。</w:t>
            </w:r>
          </w:p>
          <w:p>
            <w:pPr>
              <w:widowControl/>
              <w:spacing w:line="400" w:lineRule="exact"/>
              <w:ind w:firstLine="48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要求考生能够较好的掌握民法的基本知识、基本理论和基本技能，对相关的知识点能够深刻理解，融会贯通，对重要的知识点不仅能够熟练掌握，而且能够较好运用。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二、考试内容：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（一）民法的调整对象和基本原则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（二）民事法律关系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（三）民事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法律关系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主体：包括自然人、法人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、非法人组织、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合伙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主体的民事权利能力和民事行为能力。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（四）民事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法律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行为：包括意思表示、民事行为的成立、生效、无效、可撤销、效力未定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、附条件和附期限以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及代理。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（五）诉讼时效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与期间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：包括诉讼时效的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基本问题以及诉讼时效期间的起算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、中止、中断和延长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除斥期间。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（六）物权：包括物权的效力、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类型、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变动、所有权、共有、用益物权、担保物权。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（七）债权：包括债的类型、债的履行、债的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保全与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担保、债的转移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与消灭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、合同的订立、双务合同履行中的抗辩权、合同的变更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与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解除、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缔约过失责任与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违约责任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买卖、租赁、承揽、运输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、保管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合同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无因管理之债、不当得利之债。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（八）继承权：包括继承权的接受、丧失，法定继承、遗嘱继承、遗产处理等。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（九）人身权：包括一般人格权、生命权、健康权、肖像权、名誉权、隐私权、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信用权、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荣誉权等。</w:t>
            </w:r>
          </w:p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（十）侵权责任：包括侵权行为的归责原则、一般侵权行为的构成要件、共同侵权、侵权责任的承担及各类侵权责任。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三、题型及比例：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（一）概念辨析，共3小题，每题10分，共30分；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（二）简述题，共5小题，每题12分，共60分；</w:t>
            </w:r>
          </w:p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（三）论述题，共3小题，每题20分，共60分。</w:t>
            </w:r>
          </w:p>
        </w:tc>
      </w:tr>
    </w:tbl>
    <w:p>
      <w:pPr>
        <w:spacing w:line="400" w:lineRule="exact"/>
        <w:rPr>
          <w:rFonts w:hint="eastAsia"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7AB"/>
    <w:rsid w:val="00116407"/>
    <w:rsid w:val="008B2F50"/>
    <w:rsid w:val="009407AB"/>
    <w:rsid w:val="03016A78"/>
    <w:rsid w:val="09AF0A7D"/>
    <w:rsid w:val="20FF2738"/>
    <w:rsid w:val="2A60727F"/>
    <w:rsid w:val="4DDE093A"/>
    <w:rsid w:val="56BF0DD3"/>
    <w:rsid w:val="58A82A45"/>
    <w:rsid w:val="7BD1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537</Characters>
  <Lines>4</Lines>
  <Paragraphs>1</Paragraphs>
  <TotalTime>0</TotalTime>
  <ScaleCrop>false</ScaleCrop>
  <LinksUpToDate>false</LinksUpToDate>
  <CharactersWithSpaces>630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2017-09-06T08:37:00Z</dcterms:created>
  <dc:creator>e</dc:creator>
  <cp:lastModifiedBy>e</cp:lastModifiedBy>
  <dcterms:modified xsi:type="dcterms:W3CDTF">2017-09-06T09:03:45Z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